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C9A" w:rsidRPr="00EA612D" w:rsidRDefault="00643C9A" w:rsidP="00643C9A">
      <w:pPr>
        <w:adjustRightInd w:val="0"/>
        <w:snapToGrid w:val="0"/>
        <w:spacing w:line="360" w:lineRule="auto"/>
        <w:jc w:val="left"/>
        <w:rPr>
          <w:rFonts w:ascii="宋体" w:hAnsi="宋体"/>
          <w:color w:val="FF0000"/>
          <w:sz w:val="24"/>
        </w:rPr>
      </w:pPr>
      <w:bookmarkStart w:id="0" w:name="_GoBack"/>
      <w:bookmarkEnd w:id="0"/>
      <w:r w:rsidRPr="00EA612D">
        <w:rPr>
          <w:rFonts w:ascii="宋体" w:hAnsi="宋体" w:hint="eastAsia"/>
          <w:sz w:val="24"/>
        </w:rPr>
        <w:t>证券代码：600198         证券简称：大唐电信        公告编号：2017-02</w:t>
      </w:r>
      <w:r w:rsidR="00CB5AFA">
        <w:rPr>
          <w:rFonts w:ascii="宋体" w:hAnsi="宋体" w:hint="eastAsia"/>
          <w:sz w:val="24"/>
        </w:rPr>
        <w:t>7</w:t>
      </w:r>
    </w:p>
    <w:p w:rsidR="00643C9A" w:rsidRPr="00EA612D" w:rsidRDefault="00643C9A" w:rsidP="00EF08BF">
      <w:pPr>
        <w:ind w:firstLineChars="200" w:firstLine="643"/>
        <w:jc w:val="center"/>
        <w:rPr>
          <w:rStyle w:val="a5"/>
          <w:rFonts w:ascii="Times New Roman" w:hAnsi="Times New Roman" w:cs="Times New Roman"/>
          <w:color w:val="000000" w:themeColor="text1"/>
          <w:sz w:val="32"/>
          <w:szCs w:val="32"/>
        </w:rPr>
      </w:pPr>
    </w:p>
    <w:p w:rsidR="00EF08BF" w:rsidRPr="00EA612D" w:rsidRDefault="00EF08BF" w:rsidP="00643C9A">
      <w:pPr>
        <w:ind w:firstLineChars="200" w:firstLine="723"/>
        <w:jc w:val="center"/>
        <w:rPr>
          <w:rStyle w:val="a5"/>
          <w:rFonts w:ascii="黑体" w:eastAsia="黑体" w:hAnsi="黑体" w:cs="Times New Roman"/>
          <w:color w:val="FF0000"/>
          <w:sz w:val="36"/>
          <w:szCs w:val="36"/>
        </w:rPr>
      </w:pPr>
      <w:r w:rsidRPr="00EA612D">
        <w:rPr>
          <w:rStyle w:val="a5"/>
          <w:rFonts w:ascii="黑体" w:eastAsia="黑体" w:hAnsi="黑体" w:cs="Times New Roman"/>
          <w:color w:val="FF0000"/>
          <w:sz w:val="36"/>
          <w:szCs w:val="36"/>
        </w:rPr>
        <w:t>大唐电信科技股份有限公司</w:t>
      </w:r>
    </w:p>
    <w:p w:rsidR="00EF08BF" w:rsidRPr="00EA612D" w:rsidRDefault="00EF08BF" w:rsidP="00643C9A">
      <w:pPr>
        <w:ind w:firstLineChars="200" w:firstLine="723"/>
        <w:jc w:val="center"/>
        <w:rPr>
          <w:rStyle w:val="a5"/>
          <w:rFonts w:ascii="黑体" w:eastAsia="黑体" w:hAnsi="黑体" w:cs="Times New Roman"/>
          <w:color w:val="FF0000"/>
          <w:sz w:val="36"/>
          <w:szCs w:val="36"/>
        </w:rPr>
      </w:pPr>
      <w:r w:rsidRPr="00EA612D">
        <w:rPr>
          <w:rStyle w:val="a5"/>
          <w:rFonts w:ascii="黑体" w:eastAsia="黑体" w:hAnsi="黑体" w:cs="Times New Roman"/>
          <w:color w:val="FF0000"/>
          <w:sz w:val="36"/>
          <w:szCs w:val="36"/>
        </w:rPr>
        <w:t>关于上海证券交易所对公司2016年年度报告</w:t>
      </w:r>
    </w:p>
    <w:p w:rsidR="00EF08BF" w:rsidRPr="00EA612D" w:rsidRDefault="00EF08BF" w:rsidP="00643C9A">
      <w:pPr>
        <w:ind w:firstLineChars="200" w:firstLine="723"/>
        <w:jc w:val="center"/>
        <w:rPr>
          <w:rStyle w:val="a5"/>
          <w:rFonts w:ascii="黑体" w:eastAsia="黑体" w:hAnsi="黑体" w:cs="Times New Roman"/>
          <w:color w:val="FF0000"/>
          <w:sz w:val="36"/>
          <w:szCs w:val="36"/>
        </w:rPr>
      </w:pPr>
      <w:r w:rsidRPr="00EA612D">
        <w:rPr>
          <w:rStyle w:val="a5"/>
          <w:rFonts w:ascii="黑体" w:eastAsia="黑体" w:hAnsi="黑体" w:cs="Times New Roman"/>
          <w:color w:val="FF0000"/>
          <w:sz w:val="36"/>
          <w:szCs w:val="36"/>
        </w:rPr>
        <w:t>事后审核问询函的回复公告</w:t>
      </w:r>
    </w:p>
    <w:p w:rsidR="00643C9A" w:rsidRPr="00EA612D" w:rsidRDefault="00643C9A" w:rsidP="00643C9A">
      <w:pPr>
        <w:ind w:firstLineChars="200" w:firstLine="723"/>
        <w:jc w:val="center"/>
        <w:rPr>
          <w:rStyle w:val="a5"/>
          <w:rFonts w:ascii="黑体" w:eastAsia="黑体" w:hAnsi="黑体" w:cs="Times New Roman"/>
          <w:color w:val="FF0000"/>
          <w:sz w:val="36"/>
          <w:szCs w:val="36"/>
        </w:rPr>
      </w:pPr>
    </w:p>
    <w:p w:rsidR="00643C9A" w:rsidRPr="00EA612D" w:rsidRDefault="00643C9A" w:rsidP="00643C9A">
      <w:pPr>
        <w:pBdr>
          <w:top w:val="single" w:sz="4" w:space="1" w:color="auto"/>
          <w:left w:val="single" w:sz="4" w:space="4" w:color="auto"/>
          <w:bottom w:val="single" w:sz="4" w:space="1" w:color="auto"/>
          <w:right w:val="single" w:sz="4" w:space="4" w:color="auto"/>
        </w:pBdr>
        <w:adjustRightInd w:val="0"/>
        <w:snapToGrid w:val="0"/>
        <w:spacing w:line="360" w:lineRule="auto"/>
        <w:rPr>
          <w:rFonts w:ascii="宋体" w:hAnsi="宋体"/>
          <w:color w:val="000000"/>
          <w:sz w:val="24"/>
        </w:rPr>
      </w:pPr>
      <w:r w:rsidRPr="00EA612D">
        <w:rPr>
          <w:rFonts w:ascii="宋体" w:hAnsi="宋体" w:hint="eastAsia"/>
          <w:color w:val="000000"/>
          <w:sz w:val="24"/>
        </w:rPr>
        <w:t xml:space="preserve">    本公司董事会及全体董事保证本公告内容不存在任何虚假记载、误导性陈述或者重大遗漏，并对其内容的真实性、准确性和完整性承担个别及连带责任。</w:t>
      </w:r>
    </w:p>
    <w:p w:rsidR="00643C9A" w:rsidRPr="00EA612D" w:rsidRDefault="00643C9A" w:rsidP="00643C9A">
      <w:pPr>
        <w:ind w:firstLineChars="200" w:firstLine="723"/>
        <w:jc w:val="center"/>
        <w:rPr>
          <w:rStyle w:val="a5"/>
          <w:rFonts w:ascii="黑体" w:eastAsia="黑体" w:hAnsi="黑体" w:cs="Times New Roman"/>
          <w:color w:val="FF0000"/>
          <w:sz w:val="36"/>
          <w:szCs w:val="36"/>
        </w:rPr>
      </w:pPr>
    </w:p>
    <w:p w:rsidR="00643C9A" w:rsidRPr="00EA612D" w:rsidRDefault="00643C9A" w:rsidP="00125F10">
      <w:pPr>
        <w:spacing w:beforeLines="50" w:before="156" w:afterLines="50" w:after="156" w:line="360" w:lineRule="auto"/>
        <w:ind w:leftChars="50" w:left="105" w:rightChars="50" w:right="105" w:firstLine="560"/>
        <w:rPr>
          <w:rStyle w:val="a5"/>
          <w:rFonts w:asciiTheme="minorEastAsia" w:hAnsiTheme="minorEastAsia" w:cs="Times New Roman"/>
          <w:b w:val="0"/>
          <w:bCs w:val="0"/>
          <w:color w:val="000000" w:themeColor="text1"/>
          <w:sz w:val="24"/>
          <w:szCs w:val="24"/>
        </w:rPr>
      </w:pPr>
      <w:r w:rsidRPr="00EA612D">
        <w:rPr>
          <w:rStyle w:val="a5"/>
          <w:rFonts w:asciiTheme="minorEastAsia" w:hAnsiTheme="minorEastAsia" w:cs="Times New Roman" w:hint="eastAsia"/>
          <w:b w:val="0"/>
          <w:color w:val="000000" w:themeColor="text1"/>
          <w:sz w:val="24"/>
          <w:szCs w:val="24"/>
        </w:rPr>
        <w:t>公司于2017年5月17日收到上海证券交易所《关于对大唐电信科技股份有限公司2016年年度报告的事后审核问询函》（上证公函</w:t>
      </w:r>
      <w:r w:rsidRPr="00EA612D">
        <w:rPr>
          <w:rStyle w:val="a5"/>
          <w:rFonts w:asciiTheme="minorEastAsia" w:hAnsiTheme="minorEastAsia" w:cs="Times New Roman"/>
          <w:b w:val="0"/>
          <w:color w:val="000000" w:themeColor="text1"/>
          <w:sz w:val="24"/>
          <w:szCs w:val="24"/>
        </w:rPr>
        <w:t>[2017]057</w:t>
      </w:r>
      <w:r w:rsidRPr="00EA612D">
        <w:rPr>
          <w:rStyle w:val="a5"/>
          <w:rFonts w:asciiTheme="minorEastAsia" w:hAnsiTheme="minorEastAsia" w:cs="Times New Roman" w:hint="eastAsia"/>
          <w:b w:val="0"/>
          <w:color w:val="000000" w:themeColor="text1"/>
          <w:sz w:val="24"/>
          <w:szCs w:val="24"/>
        </w:rPr>
        <w:t>7号）（以下简称“问询函”），问询</w:t>
      </w:r>
      <w:proofErr w:type="gramStart"/>
      <w:r w:rsidRPr="00EA612D">
        <w:rPr>
          <w:rStyle w:val="a5"/>
          <w:rFonts w:asciiTheme="minorEastAsia" w:hAnsiTheme="minorEastAsia" w:cs="Times New Roman" w:hint="eastAsia"/>
          <w:b w:val="0"/>
          <w:color w:val="000000" w:themeColor="text1"/>
          <w:sz w:val="24"/>
          <w:szCs w:val="24"/>
        </w:rPr>
        <w:t>函要求</w:t>
      </w:r>
      <w:proofErr w:type="gramEnd"/>
      <w:r w:rsidRPr="00EA612D">
        <w:rPr>
          <w:rStyle w:val="a5"/>
          <w:rFonts w:asciiTheme="minorEastAsia" w:hAnsiTheme="minorEastAsia" w:cs="Times New Roman" w:hint="eastAsia"/>
          <w:b w:val="0"/>
          <w:color w:val="000000" w:themeColor="text1"/>
          <w:sz w:val="24"/>
          <w:szCs w:val="24"/>
        </w:rPr>
        <w:t>公司</w:t>
      </w:r>
      <w:r w:rsidRPr="00EA612D">
        <w:rPr>
          <w:rStyle w:val="a5"/>
          <w:rFonts w:asciiTheme="minorEastAsia" w:hAnsiTheme="minorEastAsia" w:cs="Times New Roman"/>
          <w:b w:val="0"/>
          <w:bCs w:val="0"/>
          <w:color w:val="000000" w:themeColor="text1"/>
          <w:sz w:val="24"/>
          <w:szCs w:val="24"/>
        </w:rPr>
        <w:t>进一步补充披露相关信息。</w:t>
      </w:r>
      <w:r w:rsidR="00125F10" w:rsidRPr="00F706A9">
        <w:rPr>
          <w:rStyle w:val="a5"/>
          <w:rFonts w:asciiTheme="minorEastAsia" w:hAnsiTheme="minorEastAsia" w:cs="Times New Roman"/>
          <w:b w:val="0"/>
          <w:bCs w:val="0"/>
          <w:color w:val="000000" w:themeColor="text1"/>
          <w:sz w:val="24"/>
          <w:szCs w:val="24"/>
        </w:rPr>
        <w:t>根据上海证券交易所相关规定，现将问询函回复公告如下：</w:t>
      </w:r>
    </w:p>
    <w:p w:rsidR="006B2EE6" w:rsidRPr="00EA612D" w:rsidRDefault="006B2EE6" w:rsidP="00F663C7">
      <w:pPr>
        <w:spacing w:beforeLines="50" w:before="156" w:afterLines="50" w:after="156" w:line="360" w:lineRule="auto"/>
        <w:ind w:leftChars="50" w:left="105" w:rightChars="50" w:right="105" w:firstLine="560"/>
        <w:rPr>
          <w:rStyle w:val="a5"/>
          <w:rFonts w:asciiTheme="minorEastAsia" w:hAnsiTheme="minorEastAsia" w:cs="Times New Roman"/>
          <w:b w:val="0"/>
          <w:bCs w:val="0"/>
          <w:color w:val="000000" w:themeColor="text1"/>
          <w:sz w:val="24"/>
          <w:szCs w:val="24"/>
        </w:rPr>
      </w:pPr>
      <w:r w:rsidRPr="00EA612D">
        <w:rPr>
          <w:rStyle w:val="a5"/>
          <w:rFonts w:asciiTheme="minorEastAsia" w:hAnsiTheme="minorEastAsia" w:cs="Times New Roman"/>
          <w:b w:val="0"/>
          <w:bCs w:val="0"/>
          <w:color w:val="000000" w:themeColor="text1"/>
          <w:sz w:val="24"/>
          <w:szCs w:val="24"/>
        </w:rPr>
        <w:t>2016年，国内经济发展进入新常态，经济增长内生动力不足，公司主要产业面临的市场环境竞争激烈，公司产业结构处于调整期。公司</w:t>
      </w:r>
      <w:proofErr w:type="gramStart"/>
      <w:r w:rsidRPr="00EA612D">
        <w:rPr>
          <w:rStyle w:val="a5"/>
          <w:rFonts w:asciiTheme="minorEastAsia" w:hAnsiTheme="minorEastAsia" w:cs="Times New Roman"/>
          <w:b w:val="0"/>
          <w:bCs w:val="0"/>
          <w:color w:val="000000" w:themeColor="text1"/>
          <w:sz w:val="24"/>
          <w:szCs w:val="24"/>
        </w:rPr>
        <w:t>研判当前</w:t>
      </w:r>
      <w:proofErr w:type="gramEnd"/>
      <w:r w:rsidRPr="00EA612D">
        <w:rPr>
          <w:rStyle w:val="a5"/>
          <w:rFonts w:asciiTheme="minorEastAsia" w:hAnsiTheme="minorEastAsia" w:cs="Times New Roman"/>
          <w:b w:val="0"/>
          <w:bCs w:val="0"/>
          <w:color w:val="000000" w:themeColor="text1"/>
          <w:sz w:val="24"/>
          <w:szCs w:val="24"/>
        </w:rPr>
        <w:t>与今后一段时期的市场与技术竞争环境，坚持瘦身健体，推进提质增效，积极贯彻国家供给</w:t>
      </w:r>
      <w:proofErr w:type="gramStart"/>
      <w:r w:rsidRPr="00EA612D">
        <w:rPr>
          <w:rStyle w:val="a5"/>
          <w:rFonts w:asciiTheme="minorEastAsia" w:hAnsiTheme="minorEastAsia" w:cs="Times New Roman"/>
          <w:b w:val="0"/>
          <w:bCs w:val="0"/>
          <w:color w:val="000000" w:themeColor="text1"/>
          <w:sz w:val="24"/>
          <w:szCs w:val="24"/>
        </w:rPr>
        <w:t>侧改革</w:t>
      </w:r>
      <w:proofErr w:type="gramEnd"/>
      <w:r w:rsidRPr="00EA612D">
        <w:rPr>
          <w:rStyle w:val="a5"/>
          <w:rFonts w:asciiTheme="minorEastAsia" w:hAnsiTheme="minorEastAsia" w:cs="Times New Roman"/>
          <w:b w:val="0"/>
          <w:bCs w:val="0"/>
          <w:color w:val="000000" w:themeColor="text1"/>
          <w:sz w:val="24"/>
          <w:szCs w:val="24"/>
        </w:rPr>
        <w:t>中“三去一降一补”的要求，全力推进产业结构转型升级</w:t>
      </w:r>
      <w:r w:rsidR="000E4402" w:rsidRPr="00EA612D">
        <w:rPr>
          <w:rStyle w:val="a5"/>
          <w:rFonts w:asciiTheme="minorEastAsia" w:hAnsiTheme="minorEastAsia" w:cs="Times New Roman" w:hint="eastAsia"/>
          <w:b w:val="0"/>
          <w:bCs w:val="0"/>
          <w:color w:val="000000" w:themeColor="text1"/>
          <w:sz w:val="24"/>
          <w:szCs w:val="24"/>
        </w:rPr>
        <w:t>，为公司</w:t>
      </w:r>
      <w:r w:rsidRPr="00EA612D">
        <w:rPr>
          <w:rStyle w:val="a5"/>
          <w:rFonts w:asciiTheme="minorEastAsia" w:hAnsiTheme="minorEastAsia" w:cs="Times New Roman"/>
          <w:b w:val="0"/>
          <w:bCs w:val="0"/>
          <w:color w:val="000000" w:themeColor="text1"/>
          <w:sz w:val="24"/>
          <w:szCs w:val="24"/>
        </w:rPr>
        <w:t>后续健康持续发展奠定基础。</w:t>
      </w:r>
    </w:p>
    <w:p w:rsidR="000E4F24" w:rsidRPr="00EA612D" w:rsidRDefault="000E4F24" w:rsidP="00C123FE">
      <w:pPr>
        <w:pStyle w:val="Default"/>
        <w:spacing w:beforeLines="50" w:before="156" w:afterLines="50" w:after="156" w:line="360" w:lineRule="auto"/>
        <w:ind w:leftChars="50" w:left="105" w:rightChars="50" w:right="105" w:firstLineChars="200" w:firstLine="482"/>
        <w:rPr>
          <w:rStyle w:val="a5"/>
          <w:rFonts w:asciiTheme="minorEastAsia" w:hAnsiTheme="minorEastAsia" w:cs="Times New Roman"/>
          <w:color w:val="000000" w:themeColor="text1"/>
          <w:kern w:val="2"/>
        </w:rPr>
      </w:pPr>
      <w:r w:rsidRPr="00EA612D">
        <w:rPr>
          <w:rStyle w:val="a5"/>
          <w:rFonts w:asciiTheme="minorEastAsia" w:hAnsiTheme="minorEastAsia" w:cs="Times New Roman"/>
          <w:color w:val="000000" w:themeColor="text1"/>
          <w:kern w:val="2"/>
        </w:rPr>
        <w:t>一、关于公司重大经营变化及相关财务信息</w:t>
      </w:r>
    </w:p>
    <w:p w:rsidR="000656A1" w:rsidRPr="00EA612D" w:rsidRDefault="000E4F24" w:rsidP="00F663C7">
      <w:pPr>
        <w:spacing w:beforeLines="50" w:before="156" w:afterLines="50" w:after="156" w:line="360" w:lineRule="auto"/>
        <w:ind w:leftChars="50" w:left="105" w:rightChars="50" w:right="105" w:firstLineChars="200" w:firstLine="482"/>
        <w:jc w:val="left"/>
        <w:rPr>
          <w:rStyle w:val="a5"/>
          <w:rFonts w:asciiTheme="minorEastAsia" w:hAnsiTheme="minorEastAsia" w:cs="Times New Roman"/>
          <w:color w:val="000000" w:themeColor="text1"/>
          <w:sz w:val="24"/>
          <w:szCs w:val="24"/>
        </w:rPr>
      </w:pPr>
      <w:r w:rsidRPr="00EA612D">
        <w:rPr>
          <w:rStyle w:val="a5"/>
          <w:rFonts w:asciiTheme="minorEastAsia" w:hAnsiTheme="minorEastAsia" w:cs="Times New Roman"/>
          <w:color w:val="000000" w:themeColor="text1"/>
          <w:sz w:val="24"/>
          <w:szCs w:val="24"/>
        </w:rPr>
        <w:t>年报披露，公司本期实现收入72.29亿元，比上年同期下降15.96%；实现净利润-17.76亿元，由盈转亏且亏损金额巨大。本期发生资产减值损失9.63亿元，比去年同期的2.95亿增加226.14%；发生管理费用11.89亿元，比去年同期的7.57亿元增加57%。</w:t>
      </w:r>
    </w:p>
    <w:p w:rsidR="00A35D1A" w:rsidRPr="00EA612D" w:rsidRDefault="00A35D1A" w:rsidP="00F663C7">
      <w:pPr>
        <w:spacing w:beforeLines="50" w:before="156" w:afterLines="50" w:after="156" w:line="360" w:lineRule="auto"/>
        <w:ind w:leftChars="50" w:left="105" w:rightChars="50" w:right="105" w:firstLineChars="200" w:firstLine="482"/>
        <w:jc w:val="left"/>
        <w:rPr>
          <w:rStyle w:val="a5"/>
          <w:rFonts w:asciiTheme="minorEastAsia" w:hAnsiTheme="minorEastAsia" w:cs="Times New Roman"/>
          <w:color w:val="000000" w:themeColor="text1"/>
          <w:sz w:val="24"/>
          <w:szCs w:val="24"/>
        </w:rPr>
      </w:pPr>
      <w:r w:rsidRPr="00EA612D">
        <w:rPr>
          <w:rStyle w:val="a5"/>
          <w:rFonts w:asciiTheme="minorEastAsia" w:hAnsiTheme="minorEastAsia" w:cs="Times New Roman"/>
          <w:color w:val="000000" w:themeColor="text1"/>
          <w:sz w:val="24"/>
          <w:szCs w:val="24"/>
        </w:rPr>
        <w:t>（一）关于资产减值及处置</w:t>
      </w:r>
    </w:p>
    <w:p w:rsidR="00A35D1A" w:rsidRPr="00EA612D" w:rsidRDefault="00A35D1A" w:rsidP="00F663C7">
      <w:pPr>
        <w:spacing w:beforeLines="50" w:before="156" w:afterLines="50" w:after="156" w:line="360" w:lineRule="auto"/>
        <w:ind w:leftChars="50" w:left="105" w:rightChars="50" w:right="105" w:firstLineChars="200" w:firstLine="482"/>
        <w:rPr>
          <w:rStyle w:val="a5"/>
          <w:rFonts w:asciiTheme="minorEastAsia" w:hAnsiTheme="minorEastAsia" w:cs="Times New Roman"/>
          <w:color w:val="000000" w:themeColor="text1"/>
          <w:sz w:val="24"/>
          <w:szCs w:val="24"/>
        </w:rPr>
      </w:pPr>
      <w:r w:rsidRPr="00EA612D">
        <w:rPr>
          <w:rStyle w:val="a5"/>
          <w:rFonts w:asciiTheme="minorEastAsia" w:hAnsiTheme="minorEastAsia" w:cs="Times New Roman"/>
          <w:color w:val="000000" w:themeColor="text1"/>
          <w:sz w:val="24"/>
          <w:szCs w:val="24"/>
        </w:rPr>
        <w:t>1.应收账款坏账准备。年报披露，公司本期应收账款余额为30.58 亿元，</w:t>
      </w:r>
      <w:r w:rsidRPr="00EA612D">
        <w:rPr>
          <w:rStyle w:val="a5"/>
          <w:rFonts w:asciiTheme="minorEastAsia" w:hAnsiTheme="minorEastAsia" w:cs="Times New Roman"/>
          <w:color w:val="000000" w:themeColor="text1"/>
          <w:sz w:val="24"/>
          <w:szCs w:val="24"/>
        </w:rPr>
        <w:lastRenderedPageBreak/>
        <w:t>计提坏账准备 3.21 亿元；2015 年应收账款余额</w:t>
      </w:r>
      <w:r w:rsidR="00F663C7" w:rsidRPr="00EA612D">
        <w:rPr>
          <w:rStyle w:val="a5"/>
          <w:rFonts w:asciiTheme="minorEastAsia" w:hAnsiTheme="minorEastAsia" w:cs="Times New Roman"/>
          <w:color w:val="000000" w:themeColor="text1"/>
          <w:sz w:val="24"/>
          <w:szCs w:val="24"/>
        </w:rPr>
        <w:t xml:space="preserve"> 37.47</w:t>
      </w:r>
      <w:r w:rsidRPr="00EA612D">
        <w:rPr>
          <w:rStyle w:val="a5"/>
          <w:rFonts w:asciiTheme="minorEastAsia" w:hAnsiTheme="minorEastAsia" w:cs="Times New Roman"/>
          <w:color w:val="000000" w:themeColor="text1"/>
          <w:sz w:val="24"/>
          <w:szCs w:val="24"/>
        </w:rPr>
        <w:t>亿元，计提坏账准备1.76亿元。请结合主要应收账款发生的具体变化，补充披露本期计提坏账准备的主要考虑，2016 年计提比例大幅高于以往年度的原因、依据及合理性。请会计师核查并发表意见。</w:t>
      </w:r>
    </w:p>
    <w:p w:rsidR="00A35D1A" w:rsidRPr="00EA612D" w:rsidRDefault="00A35D1A" w:rsidP="00F663C7">
      <w:pPr>
        <w:spacing w:beforeLines="50" w:before="156" w:afterLines="50" w:after="156" w:line="360" w:lineRule="auto"/>
        <w:ind w:leftChars="50" w:left="105" w:rightChars="50" w:right="105" w:firstLineChars="200" w:firstLine="482"/>
        <w:rPr>
          <w:rStyle w:val="a5"/>
          <w:rFonts w:asciiTheme="minorEastAsia" w:hAnsiTheme="minorEastAsia" w:cs="Times New Roman"/>
          <w:color w:val="000000" w:themeColor="text1"/>
          <w:sz w:val="24"/>
          <w:szCs w:val="24"/>
        </w:rPr>
      </w:pPr>
      <w:r w:rsidRPr="00EA612D">
        <w:rPr>
          <w:rStyle w:val="a5"/>
          <w:rFonts w:asciiTheme="minorEastAsia" w:hAnsiTheme="minorEastAsia" w:cs="Times New Roman"/>
          <w:color w:val="000000" w:themeColor="text1"/>
          <w:sz w:val="24"/>
          <w:szCs w:val="24"/>
        </w:rPr>
        <w:t>公司回复：</w:t>
      </w:r>
    </w:p>
    <w:p w:rsidR="00A35D1A" w:rsidRPr="00EA612D" w:rsidRDefault="00595A82" w:rsidP="00F663C7">
      <w:pPr>
        <w:spacing w:beforeLines="50" w:before="156" w:afterLines="50" w:after="156" w:line="360" w:lineRule="auto"/>
        <w:ind w:leftChars="50" w:left="105" w:rightChars="50" w:right="105" w:firstLineChars="200" w:firstLine="480"/>
        <w:rPr>
          <w:rStyle w:val="a5"/>
          <w:rFonts w:asciiTheme="minorEastAsia" w:hAnsiTheme="minorEastAsia" w:cs="Times New Roman"/>
          <w:b w:val="0"/>
          <w:color w:val="000000" w:themeColor="text1"/>
          <w:sz w:val="24"/>
          <w:szCs w:val="24"/>
        </w:rPr>
      </w:pPr>
      <w:r w:rsidRPr="00EA612D">
        <w:rPr>
          <w:rStyle w:val="a5"/>
          <w:rFonts w:asciiTheme="minorEastAsia" w:hAnsiTheme="minorEastAsia" w:cs="Times New Roman" w:hint="eastAsia"/>
          <w:b w:val="0"/>
          <w:color w:val="000000" w:themeColor="text1"/>
          <w:sz w:val="24"/>
          <w:szCs w:val="24"/>
        </w:rPr>
        <w:t>（1）</w:t>
      </w:r>
      <w:r w:rsidR="00A35D1A" w:rsidRPr="00EA612D">
        <w:rPr>
          <w:rStyle w:val="a5"/>
          <w:rFonts w:asciiTheme="minorEastAsia" w:hAnsiTheme="minorEastAsia" w:cs="Times New Roman" w:hint="eastAsia"/>
          <w:b w:val="0"/>
          <w:color w:val="000000" w:themeColor="text1"/>
          <w:sz w:val="24"/>
          <w:szCs w:val="24"/>
        </w:rPr>
        <w:t>结合主要应收账款发生的具体变化，补充披露本期计提坏账准备的主要考虑</w:t>
      </w:r>
    </w:p>
    <w:p w:rsidR="00A35D1A" w:rsidRPr="00EA612D" w:rsidRDefault="00A35D1A" w:rsidP="00F663C7">
      <w:pPr>
        <w:spacing w:beforeLines="50" w:before="156" w:afterLines="50" w:after="156" w:line="360" w:lineRule="auto"/>
        <w:ind w:leftChars="50" w:left="105" w:rightChars="50" w:right="105" w:firstLineChars="200" w:firstLine="480"/>
        <w:rPr>
          <w:rStyle w:val="a5"/>
          <w:rFonts w:asciiTheme="minorEastAsia" w:hAnsiTheme="minorEastAsia" w:cs="Times New Roman"/>
          <w:b w:val="0"/>
          <w:color w:val="000000" w:themeColor="text1"/>
          <w:sz w:val="24"/>
          <w:szCs w:val="24"/>
        </w:rPr>
      </w:pPr>
      <w:r w:rsidRPr="00EA612D">
        <w:rPr>
          <w:rStyle w:val="a5"/>
          <w:rFonts w:asciiTheme="minorEastAsia" w:hAnsiTheme="minorEastAsia" w:cs="Times New Roman"/>
          <w:b w:val="0"/>
          <w:color w:val="000000" w:themeColor="text1"/>
          <w:sz w:val="24"/>
          <w:szCs w:val="24"/>
        </w:rPr>
        <w:t>根据公司应收款项坏账准备会计政策，公司应收款项坏账准备划分为单项金额重大并单独计提坏账准备的应收款项、按信用风险特征组合计提坏账准备应收款项及单项金额</w:t>
      </w:r>
      <w:proofErr w:type="gramStart"/>
      <w:r w:rsidRPr="00EA612D">
        <w:rPr>
          <w:rStyle w:val="a5"/>
          <w:rFonts w:asciiTheme="minorEastAsia" w:hAnsiTheme="minorEastAsia" w:cs="Times New Roman"/>
          <w:b w:val="0"/>
          <w:color w:val="000000" w:themeColor="text1"/>
          <w:sz w:val="24"/>
          <w:szCs w:val="24"/>
        </w:rPr>
        <w:t>不重大</w:t>
      </w:r>
      <w:proofErr w:type="gramEnd"/>
      <w:r w:rsidRPr="00EA612D">
        <w:rPr>
          <w:rStyle w:val="a5"/>
          <w:rFonts w:asciiTheme="minorEastAsia" w:hAnsiTheme="minorEastAsia" w:cs="Times New Roman"/>
          <w:b w:val="0"/>
          <w:color w:val="000000" w:themeColor="text1"/>
          <w:sz w:val="24"/>
          <w:szCs w:val="24"/>
        </w:rPr>
        <w:t>但单独计提坏账准备的应收款项，其具体政策如下：</w:t>
      </w:r>
    </w:p>
    <w:p w:rsidR="00A35D1A" w:rsidRPr="00EA612D" w:rsidRDefault="00A35D1A" w:rsidP="00773990">
      <w:pPr>
        <w:pStyle w:val="ac"/>
        <w:ind w:left="1253" w:hanging="535"/>
        <w:rPr>
          <w:rFonts w:ascii="Times New Roman" w:hAnsi="Times New Roman"/>
          <w:b w:val="0"/>
          <w:color w:val="000000" w:themeColor="text1"/>
          <w:kern w:val="0"/>
        </w:rPr>
      </w:pPr>
      <w:r w:rsidRPr="00EA612D">
        <w:rPr>
          <w:rFonts w:ascii="Times New Roman" w:hAnsi="Times New Roman"/>
          <w:b w:val="0"/>
          <w:color w:val="000000" w:themeColor="text1"/>
          <w:kern w:val="0"/>
        </w:rPr>
        <w:t>单项金额重大并单独计提坏账准备的应收款项</w:t>
      </w:r>
    </w:p>
    <w:tbl>
      <w:tblPr>
        <w:tblW w:w="5000" w:type="pct"/>
        <w:tblBorders>
          <w:top w:val="single" w:sz="12" w:space="0" w:color="auto"/>
          <w:bottom w:val="single" w:sz="12" w:space="0" w:color="auto"/>
          <w:insideH w:val="dotted" w:sz="4" w:space="0" w:color="auto"/>
          <w:insideV w:val="dotted" w:sz="4" w:space="0" w:color="auto"/>
        </w:tblBorders>
        <w:tblCellMar>
          <w:top w:w="28" w:type="dxa"/>
          <w:bottom w:w="28" w:type="dxa"/>
        </w:tblCellMar>
        <w:tblLook w:val="04A0" w:firstRow="1" w:lastRow="0" w:firstColumn="1" w:lastColumn="0" w:noHBand="0" w:noVBand="1"/>
      </w:tblPr>
      <w:tblGrid>
        <w:gridCol w:w="3653"/>
        <w:gridCol w:w="4869"/>
      </w:tblGrid>
      <w:tr w:rsidR="00835FFC" w:rsidRPr="00EA612D" w:rsidTr="00A35D1A">
        <w:trPr>
          <w:trHeight w:val="284"/>
        </w:trPr>
        <w:tc>
          <w:tcPr>
            <w:tcW w:w="2143" w:type="pct"/>
            <w:vAlign w:val="center"/>
          </w:tcPr>
          <w:p w:rsidR="00A35D1A" w:rsidRPr="00EA612D" w:rsidRDefault="00A35D1A" w:rsidP="00A35D1A">
            <w:pPr>
              <w:tabs>
                <w:tab w:val="num" w:pos="630"/>
              </w:tabs>
              <w:adjustRightInd w:val="0"/>
              <w:snapToGrid w:val="0"/>
              <w:spacing w:line="200" w:lineRule="atLeas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单项金额重大的判断依据或金额标准</w:t>
            </w:r>
          </w:p>
        </w:tc>
        <w:tc>
          <w:tcPr>
            <w:tcW w:w="2857" w:type="pct"/>
            <w:vAlign w:val="center"/>
          </w:tcPr>
          <w:p w:rsidR="00A35D1A" w:rsidRPr="00EA612D" w:rsidRDefault="00A35D1A" w:rsidP="00A35D1A">
            <w:pPr>
              <w:tabs>
                <w:tab w:val="num" w:pos="630"/>
              </w:tabs>
              <w:adjustRightInd w:val="0"/>
              <w:snapToGrid w:val="0"/>
              <w:spacing w:line="200" w:lineRule="atLeas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应收账款余额前五名或单项占应收账款余额的</w:t>
            </w:r>
            <w:r w:rsidRPr="00EA612D">
              <w:rPr>
                <w:rFonts w:ascii="Times New Roman" w:hAnsi="Times New Roman" w:cs="Times New Roman"/>
                <w:color w:val="000000" w:themeColor="text1"/>
                <w:sz w:val="16"/>
                <w:szCs w:val="16"/>
              </w:rPr>
              <w:t>10%</w:t>
            </w:r>
            <w:r w:rsidRPr="00EA612D">
              <w:rPr>
                <w:rFonts w:ascii="Times New Roman" w:hAnsi="Times New Roman" w:cs="Times New Roman"/>
                <w:color w:val="000000" w:themeColor="text1"/>
                <w:sz w:val="16"/>
                <w:szCs w:val="16"/>
              </w:rPr>
              <w:t>以上的款项之和</w:t>
            </w:r>
          </w:p>
        </w:tc>
      </w:tr>
      <w:tr w:rsidR="00835FFC" w:rsidRPr="00EA612D" w:rsidTr="00A35D1A">
        <w:trPr>
          <w:trHeight w:val="284"/>
        </w:trPr>
        <w:tc>
          <w:tcPr>
            <w:tcW w:w="2143" w:type="pct"/>
            <w:vAlign w:val="center"/>
          </w:tcPr>
          <w:p w:rsidR="00A35D1A" w:rsidRPr="00EA612D" w:rsidRDefault="00A35D1A" w:rsidP="00A35D1A">
            <w:pPr>
              <w:tabs>
                <w:tab w:val="num" w:pos="630"/>
              </w:tabs>
              <w:adjustRightInd w:val="0"/>
              <w:snapToGrid w:val="0"/>
              <w:spacing w:line="200" w:lineRule="atLeas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单项金额重大应收款项坏账准备的计提方法</w:t>
            </w:r>
          </w:p>
        </w:tc>
        <w:tc>
          <w:tcPr>
            <w:tcW w:w="2857" w:type="pct"/>
            <w:vAlign w:val="center"/>
          </w:tcPr>
          <w:p w:rsidR="00A35D1A" w:rsidRPr="00EA612D" w:rsidRDefault="00A35D1A" w:rsidP="00A35D1A">
            <w:pPr>
              <w:tabs>
                <w:tab w:val="num" w:pos="630"/>
              </w:tabs>
              <w:adjustRightInd w:val="0"/>
              <w:snapToGrid w:val="0"/>
              <w:spacing w:line="200" w:lineRule="atLeas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对于单项金额重大的应收款项，单独进行减值测试。有客观证据表明其发生了减值，根据其未来现金流量现值低于其账面价值的差额，计提坏账准备。</w:t>
            </w:r>
          </w:p>
        </w:tc>
      </w:tr>
    </w:tbl>
    <w:p w:rsidR="00A35D1A" w:rsidRPr="00EA612D" w:rsidRDefault="00A35D1A" w:rsidP="00773990">
      <w:pPr>
        <w:pStyle w:val="ac"/>
        <w:ind w:left="1253" w:hanging="535"/>
        <w:rPr>
          <w:rFonts w:ascii="Times New Roman" w:eastAsiaTheme="minorEastAsia" w:hAnsi="Times New Roman"/>
          <w:b w:val="0"/>
          <w:color w:val="000000" w:themeColor="text1"/>
        </w:rPr>
      </w:pPr>
      <w:r w:rsidRPr="00EA612D">
        <w:rPr>
          <w:rFonts w:ascii="Times New Roman" w:eastAsiaTheme="minorEastAsia" w:hAnsi="Times New Roman"/>
          <w:b w:val="0"/>
          <w:color w:val="000000" w:themeColor="text1"/>
          <w:kern w:val="0"/>
        </w:rPr>
        <w:t>按信用风险特征组合计提坏账准备应收款项</w:t>
      </w:r>
    </w:p>
    <w:p w:rsidR="00A35D1A" w:rsidRPr="00EA612D" w:rsidRDefault="00A35D1A" w:rsidP="00A35D1A">
      <w:pPr>
        <w:pStyle w:val="ad"/>
        <w:ind w:leftChars="0" w:left="0" w:firstLineChars="350" w:firstLine="735"/>
        <w:rPr>
          <w:rFonts w:ascii="Times New Roman" w:eastAsiaTheme="minorEastAsia" w:hAnsi="Times New Roman"/>
          <w:color w:val="000000" w:themeColor="text1"/>
          <w:kern w:val="0"/>
        </w:rPr>
      </w:pPr>
      <w:r w:rsidRPr="00EA612D">
        <w:rPr>
          <w:rFonts w:ascii="Times New Roman" w:eastAsiaTheme="minorEastAsia" w:hAnsi="Times New Roman"/>
          <w:color w:val="000000" w:themeColor="text1"/>
          <w:kern w:val="0"/>
        </w:rPr>
        <w:t>组合中，采用账龄分析法计提坏账准备的应收款项</w:t>
      </w:r>
    </w:p>
    <w:tbl>
      <w:tblPr>
        <w:tblW w:w="5000" w:type="pct"/>
        <w:tblBorders>
          <w:top w:val="single" w:sz="12" w:space="0" w:color="auto"/>
          <w:bottom w:val="single" w:sz="12" w:space="0" w:color="auto"/>
          <w:insideH w:val="dotted" w:sz="4" w:space="0" w:color="auto"/>
          <w:insideV w:val="dotted" w:sz="4" w:space="0" w:color="auto"/>
        </w:tblBorders>
        <w:tblCellMar>
          <w:top w:w="28" w:type="dxa"/>
          <w:bottom w:w="28" w:type="dxa"/>
        </w:tblCellMar>
        <w:tblLook w:val="01E0" w:firstRow="1" w:lastRow="1" w:firstColumn="1" w:lastColumn="1" w:noHBand="0" w:noVBand="0"/>
      </w:tblPr>
      <w:tblGrid>
        <w:gridCol w:w="3874"/>
        <w:gridCol w:w="4648"/>
      </w:tblGrid>
      <w:tr w:rsidR="00835FFC" w:rsidRPr="00EA612D" w:rsidTr="00A35D1A">
        <w:trPr>
          <w:trHeight w:val="284"/>
          <w:tblHeader/>
        </w:trPr>
        <w:tc>
          <w:tcPr>
            <w:tcW w:w="2273" w:type="pct"/>
            <w:vAlign w:val="center"/>
          </w:tcPr>
          <w:p w:rsidR="00A35D1A" w:rsidRPr="00EA612D" w:rsidRDefault="00A35D1A" w:rsidP="00A35D1A">
            <w:pPr>
              <w:adjustRightInd w:val="0"/>
              <w:snapToGrid w:val="0"/>
              <w:spacing w:line="200" w:lineRule="atLeast"/>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账龄</w:t>
            </w:r>
          </w:p>
        </w:tc>
        <w:tc>
          <w:tcPr>
            <w:tcW w:w="2727" w:type="pct"/>
            <w:vAlign w:val="center"/>
          </w:tcPr>
          <w:p w:rsidR="00A35D1A" w:rsidRPr="00EA612D" w:rsidRDefault="00A35D1A" w:rsidP="00A35D1A">
            <w:pPr>
              <w:adjustRightInd w:val="0"/>
              <w:snapToGrid w:val="0"/>
              <w:spacing w:line="200" w:lineRule="atLeast"/>
              <w:ind w:leftChars="-51" w:left="-107" w:rightChars="-51" w:right="-107"/>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应收款项计提比例</w:t>
            </w:r>
            <w:r w:rsidRPr="00EA612D">
              <w:rPr>
                <w:rFonts w:ascii="Times New Roman" w:hAnsi="Times New Roman" w:cs="Times New Roman"/>
                <w:color w:val="000000" w:themeColor="text1"/>
                <w:sz w:val="16"/>
                <w:szCs w:val="16"/>
              </w:rPr>
              <w:t>(%)</w:t>
            </w:r>
          </w:p>
        </w:tc>
      </w:tr>
      <w:tr w:rsidR="00835FFC" w:rsidRPr="00EA612D" w:rsidTr="00A35D1A">
        <w:trPr>
          <w:trHeight w:val="284"/>
        </w:trPr>
        <w:tc>
          <w:tcPr>
            <w:tcW w:w="2273" w:type="pct"/>
            <w:vAlign w:val="center"/>
          </w:tcPr>
          <w:p w:rsidR="00A35D1A" w:rsidRPr="00EA612D" w:rsidRDefault="00A35D1A" w:rsidP="00A35D1A">
            <w:pPr>
              <w:adjustRightInd w:val="0"/>
              <w:snapToGrid w:val="0"/>
              <w:spacing w:line="200" w:lineRule="atLeas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1</w:t>
            </w:r>
            <w:r w:rsidRPr="00EA612D">
              <w:rPr>
                <w:rFonts w:ascii="Times New Roman" w:hAnsi="Times New Roman" w:cs="Times New Roman"/>
                <w:color w:val="000000" w:themeColor="text1"/>
                <w:sz w:val="16"/>
                <w:szCs w:val="16"/>
              </w:rPr>
              <w:t>年以内（含</w:t>
            </w:r>
            <w:r w:rsidRPr="00EA612D">
              <w:rPr>
                <w:rFonts w:ascii="Times New Roman" w:hAnsi="Times New Roman" w:cs="Times New Roman"/>
                <w:color w:val="000000" w:themeColor="text1"/>
                <w:sz w:val="16"/>
                <w:szCs w:val="16"/>
              </w:rPr>
              <w:t>1</w:t>
            </w:r>
            <w:r w:rsidRPr="00EA612D">
              <w:rPr>
                <w:rFonts w:ascii="Times New Roman" w:hAnsi="Times New Roman" w:cs="Times New Roman"/>
                <w:color w:val="000000" w:themeColor="text1"/>
                <w:sz w:val="16"/>
                <w:szCs w:val="16"/>
              </w:rPr>
              <w:t>年）</w:t>
            </w:r>
          </w:p>
        </w:tc>
        <w:tc>
          <w:tcPr>
            <w:tcW w:w="2727" w:type="pct"/>
            <w:vAlign w:val="center"/>
          </w:tcPr>
          <w:p w:rsidR="00A35D1A" w:rsidRPr="00EA612D" w:rsidRDefault="00A35D1A" w:rsidP="00A35D1A">
            <w:pPr>
              <w:adjustRightInd w:val="0"/>
              <w:snapToGrid w:val="0"/>
              <w:spacing w:line="200" w:lineRule="atLeast"/>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0.50</w:t>
            </w:r>
          </w:p>
        </w:tc>
      </w:tr>
      <w:tr w:rsidR="00835FFC" w:rsidRPr="00EA612D" w:rsidTr="00A35D1A">
        <w:trPr>
          <w:trHeight w:val="284"/>
        </w:trPr>
        <w:tc>
          <w:tcPr>
            <w:tcW w:w="2273" w:type="pct"/>
            <w:vAlign w:val="center"/>
          </w:tcPr>
          <w:p w:rsidR="00A35D1A" w:rsidRPr="00EA612D" w:rsidRDefault="00A35D1A" w:rsidP="00A35D1A">
            <w:pPr>
              <w:adjustRightInd w:val="0"/>
              <w:snapToGrid w:val="0"/>
              <w:spacing w:line="200" w:lineRule="atLeas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1</w:t>
            </w:r>
            <w:r w:rsidRPr="00EA612D">
              <w:rPr>
                <w:rFonts w:ascii="Times New Roman" w:hAnsi="Times New Roman" w:cs="Times New Roman"/>
                <w:color w:val="000000" w:themeColor="text1"/>
                <w:sz w:val="16"/>
                <w:szCs w:val="16"/>
              </w:rPr>
              <w:t>－</w:t>
            </w:r>
            <w:r w:rsidRPr="00EA612D">
              <w:rPr>
                <w:rFonts w:ascii="Times New Roman" w:hAnsi="Times New Roman" w:cs="Times New Roman"/>
                <w:color w:val="000000" w:themeColor="text1"/>
                <w:sz w:val="16"/>
                <w:szCs w:val="16"/>
              </w:rPr>
              <w:t>2</w:t>
            </w:r>
            <w:r w:rsidRPr="00EA612D">
              <w:rPr>
                <w:rFonts w:ascii="Times New Roman" w:hAnsi="Times New Roman" w:cs="Times New Roman"/>
                <w:color w:val="000000" w:themeColor="text1"/>
                <w:sz w:val="16"/>
                <w:szCs w:val="16"/>
              </w:rPr>
              <w:t>年（含</w:t>
            </w:r>
            <w:r w:rsidRPr="00EA612D">
              <w:rPr>
                <w:rFonts w:ascii="Times New Roman" w:hAnsi="Times New Roman" w:cs="Times New Roman"/>
                <w:color w:val="000000" w:themeColor="text1"/>
                <w:sz w:val="16"/>
                <w:szCs w:val="16"/>
              </w:rPr>
              <w:t>2</w:t>
            </w:r>
            <w:r w:rsidRPr="00EA612D">
              <w:rPr>
                <w:rFonts w:ascii="Times New Roman" w:hAnsi="Times New Roman" w:cs="Times New Roman"/>
                <w:color w:val="000000" w:themeColor="text1"/>
                <w:sz w:val="16"/>
                <w:szCs w:val="16"/>
              </w:rPr>
              <w:t>年）</w:t>
            </w:r>
          </w:p>
        </w:tc>
        <w:tc>
          <w:tcPr>
            <w:tcW w:w="2727" w:type="pct"/>
            <w:vAlign w:val="center"/>
          </w:tcPr>
          <w:p w:rsidR="00A35D1A" w:rsidRPr="00EA612D" w:rsidRDefault="00A35D1A" w:rsidP="00A35D1A">
            <w:pPr>
              <w:adjustRightInd w:val="0"/>
              <w:snapToGrid w:val="0"/>
              <w:spacing w:line="200" w:lineRule="atLeast"/>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2.00</w:t>
            </w:r>
          </w:p>
        </w:tc>
      </w:tr>
      <w:tr w:rsidR="00835FFC" w:rsidRPr="00EA612D" w:rsidTr="00A35D1A">
        <w:trPr>
          <w:trHeight w:val="284"/>
        </w:trPr>
        <w:tc>
          <w:tcPr>
            <w:tcW w:w="2273" w:type="pct"/>
            <w:vAlign w:val="center"/>
          </w:tcPr>
          <w:p w:rsidR="00A35D1A" w:rsidRPr="00EA612D" w:rsidRDefault="00A35D1A" w:rsidP="00A35D1A">
            <w:pPr>
              <w:adjustRightInd w:val="0"/>
              <w:snapToGrid w:val="0"/>
              <w:spacing w:line="200" w:lineRule="atLeas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2</w:t>
            </w:r>
            <w:r w:rsidRPr="00EA612D">
              <w:rPr>
                <w:rFonts w:ascii="Times New Roman" w:hAnsi="Times New Roman" w:cs="Times New Roman"/>
                <w:color w:val="000000" w:themeColor="text1"/>
                <w:sz w:val="16"/>
                <w:szCs w:val="16"/>
              </w:rPr>
              <w:t>－</w:t>
            </w:r>
            <w:r w:rsidRPr="00EA612D">
              <w:rPr>
                <w:rFonts w:ascii="Times New Roman" w:hAnsi="Times New Roman" w:cs="Times New Roman"/>
                <w:color w:val="000000" w:themeColor="text1"/>
                <w:sz w:val="16"/>
                <w:szCs w:val="16"/>
              </w:rPr>
              <w:t>3</w:t>
            </w:r>
            <w:r w:rsidRPr="00EA612D">
              <w:rPr>
                <w:rFonts w:ascii="Times New Roman" w:hAnsi="Times New Roman" w:cs="Times New Roman"/>
                <w:color w:val="000000" w:themeColor="text1"/>
                <w:sz w:val="16"/>
                <w:szCs w:val="16"/>
              </w:rPr>
              <w:t>年（含</w:t>
            </w:r>
            <w:r w:rsidRPr="00EA612D">
              <w:rPr>
                <w:rFonts w:ascii="Times New Roman" w:hAnsi="Times New Roman" w:cs="Times New Roman"/>
                <w:color w:val="000000" w:themeColor="text1"/>
                <w:sz w:val="16"/>
                <w:szCs w:val="16"/>
              </w:rPr>
              <w:t>3</w:t>
            </w:r>
            <w:r w:rsidRPr="00EA612D">
              <w:rPr>
                <w:rFonts w:ascii="Times New Roman" w:hAnsi="Times New Roman" w:cs="Times New Roman"/>
                <w:color w:val="000000" w:themeColor="text1"/>
                <w:sz w:val="16"/>
                <w:szCs w:val="16"/>
              </w:rPr>
              <w:t>年）</w:t>
            </w:r>
          </w:p>
        </w:tc>
        <w:tc>
          <w:tcPr>
            <w:tcW w:w="2727" w:type="pct"/>
            <w:vAlign w:val="center"/>
          </w:tcPr>
          <w:p w:rsidR="00A35D1A" w:rsidRPr="00EA612D" w:rsidRDefault="00A35D1A" w:rsidP="00A35D1A">
            <w:pPr>
              <w:adjustRightInd w:val="0"/>
              <w:snapToGrid w:val="0"/>
              <w:spacing w:line="200" w:lineRule="atLeast"/>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5.00</w:t>
            </w:r>
          </w:p>
        </w:tc>
      </w:tr>
      <w:tr w:rsidR="00835FFC" w:rsidRPr="00EA612D" w:rsidTr="00A35D1A">
        <w:trPr>
          <w:trHeight w:val="284"/>
        </w:trPr>
        <w:tc>
          <w:tcPr>
            <w:tcW w:w="2273" w:type="pct"/>
            <w:vAlign w:val="center"/>
          </w:tcPr>
          <w:p w:rsidR="00A35D1A" w:rsidRPr="00EA612D" w:rsidRDefault="00A35D1A" w:rsidP="00A35D1A">
            <w:pPr>
              <w:adjustRightInd w:val="0"/>
              <w:snapToGrid w:val="0"/>
              <w:spacing w:line="200" w:lineRule="atLeas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3</w:t>
            </w:r>
            <w:r w:rsidRPr="00EA612D">
              <w:rPr>
                <w:rFonts w:ascii="Times New Roman" w:hAnsi="Times New Roman" w:cs="Times New Roman"/>
                <w:color w:val="000000" w:themeColor="text1"/>
                <w:sz w:val="16"/>
                <w:szCs w:val="16"/>
              </w:rPr>
              <w:t>－</w:t>
            </w:r>
            <w:r w:rsidRPr="00EA612D">
              <w:rPr>
                <w:rFonts w:ascii="Times New Roman" w:hAnsi="Times New Roman" w:cs="Times New Roman"/>
                <w:color w:val="000000" w:themeColor="text1"/>
                <w:sz w:val="16"/>
                <w:szCs w:val="16"/>
              </w:rPr>
              <w:t>4</w:t>
            </w:r>
            <w:r w:rsidRPr="00EA612D">
              <w:rPr>
                <w:rFonts w:ascii="Times New Roman" w:hAnsi="Times New Roman" w:cs="Times New Roman"/>
                <w:color w:val="000000" w:themeColor="text1"/>
                <w:sz w:val="16"/>
                <w:szCs w:val="16"/>
              </w:rPr>
              <w:t>年（含</w:t>
            </w:r>
            <w:r w:rsidRPr="00EA612D">
              <w:rPr>
                <w:rFonts w:ascii="Times New Roman" w:hAnsi="Times New Roman" w:cs="Times New Roman"/>
                <w:color w:val="000000" w:themeColor="text1"/>
                <w:sz w:val="16"/>
                <w:szCs w:val="16"/>
              </w:rPr>
              <w:t>4</w:t>
            </w:r>
            <w:r w:rsidRPr="00EA612D">
              <w:rPr>
                <w:rFonts w:ascii="Times New Roman" w:hAnsi="Times New Roman" w:cs="Times New Roman"/>
                <w:color w:val="000000" w:themeColor="text1"/>
                <w:sz w:val="16"/>
                <w:szCs w:val="16"/>
              </w:rPr>
              <w:t>年）</w:t>
            </w:r>
          </w:p>
        </w:tc>
        <w:tc>
          <w:tcPr>
            <w:tcW w:w="2727" w:type="pct"/>
            <w:vAlign w:val="center"/>
          </w:tcPr>
          <w:p w:rsidR="00A35D1A" w:rsidRPr="00EA612D" w:rsidRDefault="00A35D1A" w:rsidP="00A35D1A">
            <w:pPr>
              <w:adjustRightInd w:val="0"/>
              <w:snapToGrid w:val="0"/>
              <w:spacing w:line="200" w:lineRule="atLeast"/>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30.00</w:t>
            </w:r>
          </w:p>
        </w:tc>
      </w:tr>
      <w:tr w:rsidR="00835FFC" w:rsidRPr="00EA612D" w:rsidTr="00A35D1A">
        <w:trPr>
          <w:trHeight w:val="284"/>
        </w:trPr>
        <w:tc>
          <w:tcPr>
            <w:tcW w:w="2273" w:type="pct"/>
            <w:vAlign w:val="center"/>
          </w:tcPr>
          <w:p w:rsidR="00A35D1A" w:rsidRPr="00EA612D" w:rsidRDefault="00A35D1A" w:rsidP="00A35D1A">
            <w:pPr>
              <w:adjustRightInd w:val="0"/>
              <w:snapToGrid w:val="0"/>
              <w:spacing w:line="200" w:lineRule="atLeas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4</w:t>
            </w:r>
            <w:r w:rsidRPr="00EA612D">
              <w:rPr>
                <w:rFonts w:ascii="Times New Roman" w:hAnsi="Times New Roman" w:cs="Times New Roman"/>
                <w:color w:val="000000" w:themeColor="text1"/>
                <w:sz w:val="16"/>
                <w:szCs w:val="16"/>
              </w:rPr>
              <w:t>－</w:t>
            </w:r>
            <w:r w:rsidRPr="00EA612D">
              <w:rPr>
                <w:rFonts w:ascii="Times New Roman" w:hAnsi="Times New Roman" w:cs="Times New Roman"/>
                <w:color w:val="000000" w:themeColor="text1"/>
                <w:sz w:val="16"/>
                <w:szCs w:val="16"/>
              </w:rPr>
              <w:t>5</w:t>
            </w:r>
            <w:r w:rsidRPr="00EA612D">
              <w:rPr>
                <w:rFonts w:ascii="Times New Roman" w:hAnsi="Times New Roman" w:cs="Times New Roman"/>
                <w:color w:val="000000" w:themeColor="text1"/>
                <w:sz w:val="16"/>
                <w:szCs w:val="16"/>
              </w:rPr>
              <w:t>年（含</w:t>
            </w:r>
            <w:r w:rsidRPr="00EA612D">
              <w:rPr>
                <w:rFonts w:ascii="Times New Roman" w:hAnsi="Times New Roman" w:cs="Times New Roman"/>
                <w:color w:val="000000" w:themeColor="text1"/>
                <w:sz w:val="16"/>
                <w:szCs w:val="16"/>
              </w:rPr>
              <w:t>5</w:t>
            </w:r>
            <w:r w:rsidRPr="00EA612D">
              <w:rPr>
                <w:rFonts w:ascii="Times New Roman" w:hAnsi="Times New Roman" w:cs="Times New Roman"/>
                <w:color w:val="000000" w:themeColor="text1"/>
                <w:sz w:val="16"/>
                <w:szCs w:val="16"/>
              </w:rPr>
              <w:t>年）</w:t>
            </w:r>
          </w:p>
        </w:tc>
        <w:tc>
          <w:tcPr>
            <w:tcW w:w="2727" w:type="pct"/>
            <w:vAlign w:val="center"/>
          </w:tcPr>
          <w:p w:rsidR="00A35D1A" w:rsidRPr="00EA612D" w:rsidRDefault="00A35D1A" w:rsidP="00A35D1A">
            <w:pPr>
              <w:adjustRightInd w:val="0"/>
              <w:snapToGrid w:val="0"/>
              <w:spacing w:line="200" w:lineRule="atLeast"/>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50.00</w:t>
            </w:r>
          </w:p>
        </w:tc>
      </w:tr>
      <w:tr w:rsidR="00835FFC" w:rsidRPr="00EA612D" w:rsidTr="00A35D1A">
        <w:trPr>
          <w:trHeight w:val="284"/>
        </w:trPr>
        <w:tc>
          <w:tcPr>
            <w:tcW w:w="2273" w:type="pct"/>
            <w:vAlign w:val="center"/>
          </w:tcPr>
          <w:p w:rsidR="00A35D1A" w:rsidRPr="00EA612D" w:rsidRDefault="00A35D1A" w:rsidP="00A35D1A">
            <w:pPr>
              <w:adjustRightInd w:val="0"/>
              <w:snapToGrid w:val="0"/>
              <w:spacing w:line="200" w:lineRule="atLeas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5</w:t>
            </w:r>
            <w:r w:rsidRPr="00EA612D">
              <w:rPr>
                <w:rFonts w:ascii="Times New Roman" w:hAnsi="Times New Roman" w:cs="Times New Roman"/>
                <w:color w:val="000000" w:themeColor="text1"/>
                <w:sz w:val="16"/>
                <w:szCs w:val="16"/>
              </w:rPr>
              <w:t>年以上</w:t>
            </w:r>
          </w:p>
        </w:tc>
        <w:tc>
          <w:tcPr>
            <w:tcW w:w="2727" w:type="pct"/>
            <w:vAlign w:val="center"/>
          </w:tcPr>
          <w:p w:rsidR="00A35D1A" w:rsidRPr="00EA612D" w:rsidRDefault="00A35D1A" w:rsidP="00A35D1A">
            <w:pPr>
              <w:adjustRightInd w:val="0"/>
              <w:snapToGrid w:val="0"/>
              <w:spacing w:line="200" w:lineRule="atLeast"/>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100.00</w:t>
            </w:r>
          </w:p>
        </w:tc>
      </w:tr>
    </w:tbl>
    <w:p w:rsidR="00A35D1A" w:rsidRPr="00EA612D" w:rsidRDefault="00A35D1A" w:rsidP="00773990">
      <w:pPr>
        <w:pStyle w:val="ac"/>
        <w:ind w:left="1253" w:hanging="535"/>
        <w:rPr>
          <w:rFonts w:ascii="Times New Roman" w:eastAsiaTheme="minorEastAsia" w:hAnsi="Times New Roman"/>
          <w:b w:val="0"/>
          <w:color w:val="000000" w:themeColor="text1"/>
          <w:kern w:val="0"/>
        </w:rPr>
      </w:pPr>
      <w:r w:rsidRPr="00EA612D">
        <w:rPr>
          <w:rFonts w:ascii="Times New Roman" w:eastAsiaTheme="minorEastAsia" w:hAnsi="Times New Roman"/>
          <w:b w:val="0"/>
          <w:color w:val="000000" w:themeColor="text1"/>
          <w:kern w:val="0"/>
        </w:rPr>
        <w:t>单项金额</w:t>
      </w:r>
      <w:proofErr w:type="gramStart"/>
      <w:r w:rsidRPr="00EA612D">
        <w:rPr>
          <w:rFonts w:ascii="Times New Roman" w:eastAsiaTheme="minorEastAsia" w:hAnsi="Times New Roman"/>
          <w:b w:val="0"/>
          <w:color w:val="000000" w:themeColor="text1"/>
          <w:kern w:val="0"/>
        </w:rPr>
        <w:t>不重大</w:t>
      </w:r>
      <w:proofErr w:type="gramEnd"/>
      <w:r w:rsidRPr="00EA612D">
        <w:rPr>
          <w:rFonts w:ascii="Times New Roman" w:eastAsiaTheme="minorEastAsia" w:hAnsi="Times New Roman"/>
          <w:b w:val="0"/>
          <w:color w:val="000000" w:themeColor="text1"/>
          <w:kern w:val="0"/>
        </w:rPr>
        <w:t>但单独计提坏账准备的应收款项</w:t>
      </w:r>
    </w:p>
    <w:tbl>
      <w:tblPr>
        <w:tblW w:w="5000" w:type="pct"/>
        <w:tblBorders>
          <w:top w:val="single" w:sz="12" w:space="0" w:color="auto"/>
          <w:bottom w:val="single" w:sz="12" w:space="0" w:color="auto"/>
          <w:insideH w:val="dotted" w:sz="4" w:space="0" w:color="auto"/>
          <w:insideV w:val="dotted" w:sz="4" w:space="0" w:color="auto"/>
        </w:tblBorders>
        <w:tblCellMar>
          <w:top w:w="28" w:type="dxa"/>
          <w:bottom w:w="28" w:type="dxa"/>
        </w:tblCellMar>
        <w:tblLook w:val="04A0" w:firstRow="1" w:lastRow="0" w:firstColumn="1" w:lastColumn="0" w:noHBand="0" w:noVBand="1"/>
      </w:tblPr>
      <w:tblGrid>
        <w:gridCol w:w="2990"/>
        <w:gridCol w:w="5532"/>
      </w:tblGrid>
      <w:tr w:rsidR="00835FFC" w:rsidRPr="00EA612D" w:rsidTr="00A35D1A">
        <w:trPr>
          <w:trHeight w:val="284"/>
        </w:trPr>
        <w:tc>
          <w:tcPr>
            <w:tcW w:w="1754" w:type="pct"/>
            <w:vAlign w:val="center"/>
          </w:tcPr>
          <w:p w:rsidR="00A35D1A" w:rsidRPr="00EA612D" w:rsidRDefault="00A35D1A" w:rsidP="00A35D1A">
            <w:pPr>
              <w:adjustRightInd w:val="0"/>
              <w:snapToGrid w:val="0"/>
              <w:spacing w:line="200" w:lineRule="atLeast"/>
              <w:rPr>
                <w:rFonts w:ascii="Times New Roman" w:hAnsi="Times New Roman" w:cs="Times New Roman"/>
                <w:color w:val="000000" w:themeColor="text1"/>
                <w:kern w:val="0"/>
                <w:sz w:val="16"/>
                <w:szCs w:val="16"/>
              </w:rPr>
            </w:pPr>
            <w:r w:rsidRPr="00EA612D">
              <w:rPr>
                <w:rFonts w:ascii="Times New Roman" w:hAnsi="Times New Roman" w:cs="Times New Roman"/>
                <w:color w:val="000000" w:themeColor="text1"/>
                <w:kern w:val="0"/>
                <w:sz w:val="16"/>
                <w:szCs w:val="16"/>
              </w:rPr>
              <w:t>单项计提坏账准备的理由</w:t>
            </w:r>
          </w:p>
        </w:tc>
        <w:tc>
          <w:tcPr>
            <w:tcW w:w="3246" w:type="pct"/>
            <w:vAlign w:val="center"/>
          </w:tcPr>
          <w:p w:rsidR="00A35D1A" w:rsidRPr="00EA612D" w:rsidRDefault="00A35D1A" w:rsidP="00A35D1A">
            <w:pPr>
              <w:autoSpaceDE w:val="0"/>
              <w:autoSpaceDN w:val="0"/>
              <w:adjustRightInd w:val="0"/>
              <w:snapToGrid w:val="0"/>
              <w:spacing w:line="200" w:lineRule="atLeast"/>
              <w:jc w:val="lef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有客观证据表明可能发生了减值，如债务人出现撤销、破产或死亡，以其破产财产或遗产清偿后，仍不能收回、现金流量严重不足等情况的。</w:t>
            </w:r>
          </w:p>
        </w:tc>
      </w:tr>
      <w:tr w:rsidR="00835FFC" w:rsidRPr="00EA612D" w:rsidTr="00A35D1A">
        <w:trPr>
          <w:trHeight w:val="284"/>
        </w:trPr>
        <w:tc>
          <w:tcPr>
            <w:tcW w:w="1754" w:type="pct"/>
            <w:vAlign w:val="center"/>
          </w:tcPr>
          <w:p w:rsidR="00A35D1A" w:rsidRPr="00EA612D" w:rsidRDefault="00A35D1A" w:rsidP="00A35D1A">
            <w:pPr>
              <w:adjustRightInd w:val="0"/>
              <w:snapToGrid w:val="0"/>
              <w:spacing w:line="200" w:lineRule="atLeast"/>
              <w:rPr>
                <w:rFonts w:ascii="Times New Roman" w:hAnsi="Times New Roman" w:cs="Times New Roman"/>
                <w:color w:val="000000" w:themeColor="text1"/>
                <w:kern w:val="0"/>
                <w:sz w:val="16"/>
                <w:szCs w:val="16"/>
              </w:rPr>
            </w:pPr>
            <w:r w:rsidRPr="00EA612D">
              <w:rPr>
                <w:rFonts w:ascii="Times New Roman" w:hAnsi="Times New Roman" w:cs="Times New Roman"/>
                <w:color w:val="000000" w:themeColor="text1"/>
                <w:kern w:val="0"/>
                <w:sz w:val="16"/>
                <w:szCs w:val="16"/>
              </w:rPr>
              <w:t>坏账准备的计提方法</w:t>
            </w:r>
          </w:p>
        </w:tc>
        <w:tc>
          <w:tcPr>
            <w:tcW w:w="3246" w:type="pct"/>
            <w:vAlign w:val="center"/>
          </w:tcPr>
          <w:p w:rsidR="00A35D1A" w:rsidRPr="00EA612D" w:rsidRDefault="00A35D1A" w:rsidP="00A35D1A">
            <w:pPr>
              <w:autoSpaceDE w:val="0"/>
              <w:autoSpaceDN w:val="0"/>
              <w:adjustRightInd w:val="0"/>
              <w:snapToGrid w:val="0"/>
              <w:spacing w:line="200" w:lineRule="atLeast"/>
              <w:jc w:val="lef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对有客观证据表明可能发生了减值的应收款项，将其从相关组合中分离出来，单独进行减值测试，确认减值损失。</w:t>
            </w:r>
          </w:p>
        </w:tc>
      </w:tr>
    </w:tbl>
    <w:p w:rsidR="00A35D1A" w:rsidRPr="00EA612D" w:rsidRDefault="00A35D1A" w:rsidP="00F663C7">
      <w:pPr>
        <w:ind w:firstLineChars="200" w:firstLine="480"/>
        <w:rPr>
          <w:rStyle w:val="a5"/>
          <w:rFonts w:asciiTheme="minorEastAsia" w:hAnsiTheme="minorEastAsia" w:cs="Times New Roman"/>
          <w:b w:val="0"/>
          <w:color w:val="000000" w:themeColor="text1"/>
          <w:sz w:val="24"/>
          <w:szCs w:val="24"/>
        </w:rPr>
      </w:pPr>
      <w:r w:rsidRPr="00EA612D">
        <w:rPr>
          <w:rStyle w:val="a5"/>
          <w:rFonts w:asciiTheme="minorEastAsia" w:hAnsiTheme="minorEastAsia" w:cs="Times New Roman"/>
          <w:b w:val="0"/>
          <w:color w:val="000000" w:themeColor="text1"/>
          <w:sz w:val="24"/>
          <w:szCs w:val="24"/>
        </w:rPr>
        <w:t>2016</w:t>
      </w:r>
      <w:r w:rsidRPr="00EA612D">
        <w:rPr>
          <w:rStyle w:val="a5"/>
          <w:rFonts w:asciiTheme="minorEastAsia" w:hAnsiTheme="minorEastAsia" w:cs="Times New Roman" w:hint="eastAsia"/>
          <w:b w:val="0"/>
          <w:color w:val="000000" w:themeColor="text1"/>
          <w:sz w:val="24"/>
          <w:szCs w:val="24"/>
        </w:rPr>
        <w:t>年末公司应收账款分类与年初对比情况如下：</w:t>
      </w:r>
    </w:p>
    <w:p w:rsidR="00A35D1A" w:rsidRPr="00EA612D" w:rsidRDefault="00A35D1A" w:rsidP="00A35D1A">
      <w:pPr>
        <w:jc w:val="right"/>
        <w:rPr>
          <w:rStyle w:val="a5"/>
          <w:rFonts w:ascii="Times New Roman" w:hAnsi="Times New Roman" w:cs="Times New Roman"/>
          <w:b w:val="0"/>
          <w:color w:val="000000" w:themeColor="text1"/>
          <w:sz w:val="24"/>
          <w:szCs w:val="24"/>
        </w:rPr>
      </w:pPr>
      <w:r w:rsidRPr="00EA612D">
        <w:rPr>
          <w:rStyle w:val="a5"/>
          <w:rFonts w:ascii="Times New Roman" w:hAnsi="Times New Roman" w:cs="Times New Roman"/>
          <w:b w:val="0"/>
          <w:color w:val="000000" w:themeColor="text1"/>
          <w:sz w:val="24"/>
          <w:szCs w:val="24"/>
        </w:rPr>
        <w:t>单位：人民币万元</w:t>
      </w:r>
    </w:p>
    <w:tbl>
      <w:tblPr>
        <w:tblW w:w="5000" w:type="pct"/>
        <w:tblBorders>
          <w:top w:val="single" w:sz="12" w:space="0" w:color="auto"/>
          <w:bottom w:val="single" w:sz="12" w:space="0" w:color="auto"/>
          <w:insideH w:val="dotted" w:sz="4" w:space="0" w:color="auto"/>
          <w:insideV w:val="dotted" w:sz="4" w:space="0" w:color="auto"/>
        </w:tblBorders>
        <w:tblCellMar>
          <w:top w:w="28" w:type="dxa"/>
          <w:bottom w:w="28" w:type="dxa"/>
        </w:tblCellMar>
        <w:tblLook w:val="04A0" w:firstRow="1" w:lastRow="0" w:firstColumn="1" w:lastColumn="0" w:noHBand="0" w:noVBand="1"/>
      </w:tblPr>
      <w:tblGrid>
        <w:gridCol w:w="1891"/>
        <w:gridCol w:w="1282"/>
        <w:gridCol w:w="1357"/>
        <w:gridCol w:w="1329"/>
        <w:gridCol w:w="1328"/>
        <w:gridCol w:w="1335"/>
      </w:tblGrid>
      <w:tr w:rsidR="00835FFC" w:rsidRPr="00EA612D" w:rsidTr="00A35D1A">
        <w:trPr>
          <w:trHeight w:val="284"/>
          <w:tblHeader/>
        </w:trPr>
        <w:tc>
          <w:tcPr>
            <w:tcW w:w="1109" w:type="pct"/>
            <w:vMerge w:val="restart"/>
            <w:shd w:val="clear" w:color="auto" w:fill="auto"/>
            <w:vAlign w:val="center"/>
            <w:hideMark/>
          </w:tcPr>
          <w:p w:rsidR="00A35D1A" w:rsidRPr="00EA612D" w:rsidRDefault="00A35D1A" w:rsidP="00A35D1A">
            <w:pPr>
              <w:adjustRightInd w:val="0"/>
              <w:snapToGrid w:val="0"/>
              <w:spacing w:line="200" w:lineRule="atLeast"/>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类别</w:t>
            </w:r>
          </w:p>
        </w:tc>
        <w:tc>
          <w:tcPr>
            <w:tcW w:w="1548" w:type="pct"/>
            <w:gridSpan w:val="2"/>
            <w:shd w:val="clear" w:color="auto" w:fill="auto"/>
            <w:noWrap/>
            <w:vAlign w:val="center"/>
            <w:hideMark/>
          </w:tcPr>
          <w:p w:rsidR="00A35D1A" w:rsidRPr="00EA612D" w:rsidRDefault="00A35D1A" w:rsidP="00A35D1A">
            <w:pPr>
              <w:adjustRightInd w:val="0"/>
              <w:snapToGrid w:val="0"/>
              <w:spacing w:line="200" w:lineRule="atLeast"/>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期末余额</w:t>
            </w:r>
          </w:p>
        </w:tc>
        <w:tc>
          <w:tcPr>
            <w:tcW w:w="1559" w:type="pct"/>
            <w:gridSpan w:val="2"/>
            <w:shd w:val="clear" w:color="auto" w:fill="auto"/>
            <w:noWrap/>
            <w:vAlign w:val="center"/>
            <w:hideMark/>
          </w:tcPr>
          <w:p w:rsidR="00A35D1A" w:rsidRPr="00EA612D" w:rsidRDefault="00A35D1A" w:rsidP="00A35D1A">
            <w:pPr>
              <w:adjustRightInd w:val="0"/>
              <w:snapToGrid w:val="0"/>
              <w:spacing w:line="200" w:lineRule="atLeast"/>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年初余额</w:t>
            </w:r>
          </w:p>
        </w:tc>
        <w:tc>
          <w:tcPr>
            <w:tcW w:w="783" w:type="pct"/>
            <w:vMerge w:val="restart"/>
            <w:vAlign w:val="center"/>
          </w:tcPr>
          <w:p w:rsidR="00A35D1A" w:rsidRPr="00EA612D" w:rsidRDefault="00A35D1A" w:rsidP="00A35D1A">
            <w:pPr>
              <w:adjustRightInd w:val="0"/>
              <w:snapToGrid w:val="0"/>
              <w:spacing w:line="200" w:lineRule="atLeast"/>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2016</w:t>
            </w:r>
            <w:r w:rsidRPr="00EA612D">
              <w:rPr>
                <w:rFonts w:ascii="Times New Roman" w:hAnsi="Times New Roman" w:cs="Times New Roman"/>
                <w:color w:val="000000" w:themeColor="text1"/>
                <w:sz w:val="16"/>
                <w:szCs w:val="16"/>
              </w:rPr>
              <w:t>年度坏账准备增加额</w:t>
            </w:r>
          </w:p>
          <w:p w:rsidR="00A35D1A" w:rsidRPr="00EA612D" w:rsidRDefault="00A35D1A" w:rsidP="00A35D1A">
            <w:pPr>
              <w:adjustRightInd w:val="0"/>
              <w:snapToGrid w:val="0"/>
              <w:spacing w:line="200" w:lineRule="atLeast"/>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（期末</w:t>
            </w:r>
            <w:r w:rsidRPr="00EA612D">
              <w:rPr>
                <w:rFonts w:ascii="Times New Roman" w:hAnsi="Times New Roman" w:cs="Times New Roman"/>
                <w:color w:val="000000" w:themeColor="text1"/>
                <w:sz w:val="16"/>
                <w:szCs w:val="16"/>
              </w:rPr>
              <w:t>-</w:t>
            </w:r>
            <w:r w:rsidRPr="00EA612D">
              <w:rPr>
                <w:rFonts w:ascii="Times New Roman" w:hAnsi="Times New Roman" w:cs="Times New Roman"/>
                <w:color w:val="000000" w:themeColor="text1"/>
                <w:sz w:val="16"/>
                <w:szCs w:val="16"/>
              </w:rPr>
              <w:t>期初）</w:t>
            </w:r>
          </w:p>
        </w:tc>
      </w:tr>
      <w:tr w:rsidR="00835FFC" w:rsidRPr="00EA612D" w:rsidTr="00A35D1A">
        <w:trPr>
          <w:trHeight w:val="284"/>
          <w:tblHeader/>
        </w:trPr>
        <w:tc>
          <w:tcPr>
            <w:tcW w:w="1109" w:type="pct"/>
            <w:vMerge/>
            <w:shd w:val="clear" w:color="auto" w:fill="auto"/>
            <w:vAlign w:val="center"/>
            <w:hideMark/>
          </w:tcPr>
          <w:p w:rsidR="00A35D1A" w:rsidRPr="00EA612D" w:rsidRDefault="00A35D1A" w:rsidP="00A35D1A">
            <w:pPr>
              <w:adjustRightInd w:val="0"/>
              <w:snapToGrid w:val="0"/>
              <w:spacing w:line="200" w:lineRule="atLeast"/>
              <w:rPr>
                <w:rFonts w:ascii="Times New Roman" w:hAnsi="Times New Roman" w:cs="Times New Roman"/>
                <w:color w:val="000000" w:themeColor="text1"/>
                <w:sz w:val="16"/>
                <w:szCs w:val="16"/>
              </w:rPr>
            </w:pPr>
          </w:p>
        </w:tc>
        <w:tc>
          <w:tcPr>
            <w:tcW w:w="752" w:type="pct"/>
            <w:shd w:val="clear" w:color="auto" w:fill="auto"/>
            <w:noWrap/>
            <w:vAlign w:val="center"/>
            <w:hideMark/>
          </w:tcPr>
          <w:p w:rsidR="00A35D1A" w:rsidRPr="00EA612D" w:rsidRDefault="00A35D1A" w:rsidP="00A35D1A">
            <w:pPr>
              <w:adjustRightInd w:val="0"/>
              <w:snapToGrid w:val="0"/>
              <w:spacing w:line="200" w:lineRule="atLeast"/>
              <w:ind w:rightChars="-26" w:right="-55"/>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账面余额</w:t>
            </w:r>
          </w:p>
        </w:tc>
        <w:tc>
          <w:tcPr>
            <w:tcW w:w="796" w:type="pct"/>
            <w:shd w:val="clear" w:color="auto" w:fill="auto"/>
            <w:vAlign w:val="center"/>
            <w:hideMark/>
          </w:tcPr>
          <w:p w:rsidR="00A35D1A" w:rsidRPr="00EA612D" w:rsidRDefault="00A35D1A" w:rsidP="00A35D1A">
            <w:pPr>
              <w:adjustRightInd w:val="0"/>
              <w:snapToGrid w:val="0"/>
              <w:spacing w:line="200" w:lineRule="atLeast"/>
              <w:ind w:rightChars="-26" w:right="-55"/>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坏账准备</w:t>
            </w:r>
          </w:p>
        </w:tc>
        <w:tc>
          <w:tcPr>
            <w:tcW w:w="780" w:type="pct"/>
            <w:shd w:val="clear" w:color="auto" w:fill="auto"/>
            <w:noWrap/>
            <w:vAlign w:val="center"/>
            <w:hideMark/>
          </w:tcPr>
          <w:p w:rsidR="00A35D1A" w:rsidRPr="00EA612D" w:rsidRDefault="00A35D1A" w:rsidP="00A35D1A">
            <w:pPr>
              <w:adjustRightInd w:val="0"/>
              <w:snapToGrid w:val="0"/>
              <w:spacing w:line="200" w:lineRule="atLeast"/>
              <w:ind w:rightChars="-26" w:right="-55"/>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账面余额</w:t>
            </w:r>
          </w:p>
        </w:tc>
        <w:tc>
          <w:tcPr>
            <w:tcW w:w="779" w:type="pct"/>
            <w:shd w:val="clear" w:color="auto" w:fill="auto"/>
            <w:vAlign w:val="center"/>
            <w:hideMark/>
          </w:tcPr>
          <w:p w:rsidR="00A35D1A" w:rsidRPr="00EA612D" w:rsidRDefault="00A35D1A" w:rsidP="00A35D1A">
            <w:pPr>
              <w:adjustRightInd w:val="0"/>
              <w:snapToGrid w:val="0"/>
              <w:spacing w:line="200" w:lineRule="atLeast"/>
              <w:ind w:rightChars="-26" w:right="-55"/>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坏账准备</w:t>
            </w:r>
          </w:p>
        </w:tc>
        <w:tc>
          <w:tcPr>
            <w:tcW w:w="783" w:type="pct"/>
            <w:vMerge/>
            <w:vAlign w:val="center"/>
          </w:tcPr>
          <w:p w:rsidR="00A35D1A" w:rsidRPr="00EA612D" w:rsidRDefault="00A35D1A" w:rsidP="00A35D1A">
            <w:pPr>
              <w:adjustRightInd w:val="0"/>
              <w:snapToGrid w:val="0"/>
              <w:spacing w:line="200" w:lineRule="atLeast"/>
              <w:ind w:rightChars="-26" w:right="-55"/>
              <w:jc w:val="center"/>
              <w:rPr>
                <w:rFonts w:ascii="Times New Roman" w:hAnsi="Times New Roman" w:cs="Times New Roman"/>
                <w:color w:val="000000" w:themeColor="text1"/>
                <w:sz w:val="16"/>
                <w:szCs w:val="16"/>
              </w:rPr>
            </w:pPr>
          </w:p>
        </w:tc>
      </w:tr>
      <w:tr w:rsidR="00835FFC" w:rsidRPr="00EA612D" w:rsidTr="00A35D1A">
        <w:trPr>
          <w:trHeight w:val="538"/>
        </w:trPr>
        <w:tc>
          <w:tcPr>
            <w:tcW w:w="1109" w:type="pct"/>
            <w:shd w:val="clear" w:color="auto" w:fill="auto"/>
            <w:vAlign w:val="center"/>
            <w:hideMark/>
          </w:tcPr>
          <w:p w:rsidR="00A35D1A" w:rsidRPr="00EA612D" w:rsidRDefault="00A35D1A" w:rsidP="00A35D1A">
            <w:pPr>
              <w:adjustRightInd w:val="0"/>
              <w:snapToGrid w:val="0"/>
              <w:spacing w:line="200" w:lineRule="atLeas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1</w:t>
            </w:r>
            <w:r w:rsidRPr="00EA612D">
              <w:rPr>
                <w:rFonts w:ascii="Times New Roman" w:hAnsi="Times New Roman" w:cs="Times New Roman"/>
                <w:color w:val="000000" w:themeColor="text1"/>
                <w:sz w:val="16"/>
                <w:szCs w:val="16"/>
              </w:rPr>
              <w:t>、单项金额重大并单独计提坏账准备的应收账款</w:t>
            </w:r>
          </w:p>
        </w:tc>
        <w:tc>
          <w:tcPr>
            <w:tcW w:w="752" w:type="pct"/>
            <w:shd w:val="clear" w:color="auto" w:fill="auto"/>
            <w:noWrap/>
            <w:vAlign w:val="center"/>
          </w:tcPr>
          <w:p w:rsidR="00A35D1A" w:rsidRPr="00EA612D" w:rsidRDefault="00A35D1A" w:rsidP="00A35D1A">
            <w:pPr>
              <w:adjustRightInd w:val="0"/>
              <w:snapToGrid w:val="0"/>
              <w:spacing w:line="200" w:lineRule="atLeast"/>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44,407.07</w:t>
            </w:r>
          </w:p>
        </w:tc>
        <w:tc>
          <w:tcPr>
            <w:tcW w:w="796" w:type="pct"/>
            <w:shd w:val="clear" w:color="auto" w:fill="auto"/>
            <w:noWrap/>
            <w:vAlign w:val="center"/>
          </w:tcPr>
          <w:p w:rsidR="00A35D1A" w:rsidRPr="00EA612D" w:rsidRDefault="00A35D1A" w:rsidP="00A35D1A">
            <w:pPr>
              <w:adjustRightInd w:val="0"/>
              <w:snapToGrid w:val="0"/>
              <w:spacing w:line="200" w:lineRule="atLeast"/>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30,043.78</w:t>
            </w:r>
          </w:p>
        </w:tc>
        <w:tc>
          <w:tcPr>
            <w:tcW w:w="780" w:type="pct"/>
            <w:shd w:val="clear" w:color="auto" w:fill="auto"/>
            <w:noWrap/>
            <w:vAlign w:val="center"/>
          </w:tcPr>
          <w:p w:rsidR="00A35D1A" w:rsidRPr="00EA612D" w:rsidRDefault="00A35D1A" w:rsidP="00A35D1A">
            <w:pPr>
              <w:adjustRightInd w:val="0"/>
              <w:snapToGrid w:val="0"/>
              <w:spacing w:line="200" w:lineRule="atLeast"/>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12,780.00</w:t>
            </w:r>
          </w:p>
        </w:tc>
        <w:tc>
          <w:tcPr>
            <w:tcW w:w="779" w:type="pct"/>
            <w:shd w:val="clear" w:color="auto" w:fill="auto"/>
            <w:noWrap/>
            <w:vAlign w:val="center"/>
          </w:tcPr>
          <w:p w:rsidR="00A35D1A" w:rsidRPr="00EA612D" w:rsidRDefault="00A35D1A" w:rsidP="00A35D1A">
            <w:pPr>
              <w:adjustRightInd w:val="0"/>
              <w:snapToGrid w:val="0"/>
              <w:spacing w:line="200" w:lineRule="atLeast"/>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2,556.00</w:t>
            </w:r>
          </w:p>
        </w:tc>
        <w:tc>
          <w:tcPr>
            <w:tcW w:w="783" w:type="pct"/>
            <w:vAlign w:val="center"/>
          </w:tcPr>
          <w:p w:rsidR="00A35D1A" w:rsidRPr="00EA612D" w:rsidRDefault="00A35D1A" w:rsidP="00A35D1A">
            <w:pPr>
              <w:adjustRightInd w:val="0"/>
              <w:snapToGrid w:val="0"/>
              <w:spacing w:line="200" w:lineRule="atLeast"/>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27,487.78</w:t>
            </w:r>
          </w:p>
        </w:tc>
      </w:tr>
      <w:tr w:rsidR="00835FFC" w:rsidRPr="00EA612D" w:rsidTr="00A35D1A">
        <w:trPr>
          <w:trHeight w:val="284"/>
        </w:trPr>
        <w:tc>
          <w:tcPr>
            <w:tcW w:w="1109" w:type="pct"/>
            <w:shd w:val="clear" w:color="auto" w:fill="auto"/>
            <w:vAlign w:val="center"/>
            <w:hideMark/>
          </w:tcPr>
          <w:p w:rsidR="00A35D1A" w:rsidRPr="00EA612D" w:rsidRDefault="00A35D1A" w:rsidP="004B10A9">
            <w:pPr>
              <w:adjustRightInd w:val="0"/>
              <w:snapToGrid w:val="0"/>
              <w:spacing w:line="200" w:lineRule="atLeas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2</w:t>
            </w:r>
            <w:r w:rsidRPr="00EA612D">
              <w:rPr>
                <w:rFonts w:ascii="Times New Roman" w:hAnsi="Times New Roman" w:cs="Times New Roman"/>
                <w:color w:val="000000" w:themeColor="text1"/>
                <w:sz w:val="16"/>
                <w:szCs w:val="16"/>
              </w:rPr>
              <w:t>、按信用风险特征组合</w:t>
            </w:r>
            <w:r w:rsidRPr="00EA612D">
              <w:rPr>
                <w:rFonts w:ascii="Times New Roman" w:hAnsi="Times New Roman" w:cs="Times New Roman"/>
                <w:color w:val="000000" w:themeColor="text1"/>
                <w:sz w:val="16"/>
                <w:szCs w:val="16"/>
              </w:rPr>
              <w:lastRenderedPageBreak/>
              <w:t>计提坏账准备的应收账款</w:t>
            </w:r>
          </w:p>
        </w:tc>
        <w:tc>
          <w:tcPr>
            <w:tcW w:w="752" w:type="pct"/>
            <w:shd w:val="clear" w:color="auto" w:fill="auto"/>
            <w:noWrap/>
            <w:vAlign w:val="center"/>
          </w:tcPr>
          <w:p w:rsidR="00A35D1A" w:rsidRPr="00EA612D" w:rsidRDefault="00A35D1A" w:rsidP="00A35D1A">
            <w:pPr>
              <w:adjustRightInd w:val="0"/>
              <w:snapToGrid w:val="0"/>
              <w:spacing w:line="200" w:lineRule="atLeast"/>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lastRenderedPageBreak/>
              <w:t>254,354.14</w:t>
            </w:r>
          </w:p>
        </w:tc>
        <w:tc>
          <w:tcPr>
            <w:tcW w:w="796" w:type="pct"/>
            <w:shd w:val="clear" w:color="auto" w:fill="auto"/>
            <w:noWrap/>
            <w:vAlign w:val="center"/>
          </w:tcPr>
          <w:p w:rsidR="00A35D1A" w:rsidRPr="00EA612D" w:rsidRDefault="00A35D1A" w:rsidP="00A35D1A">
            <w:pPr>
              <w:adjustRightInd w:val="0"/>
              <w:snapToGrid w:val="0"/>
              <w:spacing w:line="200" w:lineRule="atLeast"/>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51,640.81</w:t>
            </w:r>
          </w:p>
        </w:tc>
        <w:tc>
          <w:tcPr>
            <w:tcW w:w="780" w:type="pct"/>
            <w:shd w:val="clear" w:color="auto" w:fill="auto"/>
            <w:noWrap/>
            <w:vAlign w:val="center"/>
          </w:tcPr>
          <w:p w:rsidR="00A35D1A" w:rsidRPr="00EA612D" w:rsidRDefault="00A35D1A" w:rsidP="00A35D1A">
            <w:pPr>
              <w:adjustRightInd w:val="0"/>
              <w:snapToGrid w:val="0"/>
              <w:spacing w:line="200" w:lineRule="atLeast"/>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345,385.92</w:t>
            </w:r>
          </w:p>
        </w:tc>
        <w:tc>
          <w:tcPr>
            <w:tcW w:w="779" w:type="pct"/>
            <w:shd w:val="clear" w:color="auto" w:fill="auto"/>
            <w:noWrap/>
            <w:vAlign w:val="center"/>
          </w:tcPr>
          <w:p w:rsidR="00A35D1A" w:rsidRPr="00EA612D" w:rsidRDefault="00A35D1A" w:rsidP="00A35D1A">
            <w:pPr>
              <w:adjustRightInd w:val="0"/>
              <w:snapToGrid w:val="0"/>
              <w:spacing w:line="200" w:lineRule="atLeast"/>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48,474.28</w:t>
            </w:r>
          </w:p>
        </w:tc>
        <w:tc>
          <w:tcPr>
            <w:tcW w:w="783" w:type="pct"/>
            <w:vAlign w:val="center"/>
          </w:tcPr>
          <w:p w:rsidR="00A35D1A" w:rsidRPr="00EA612D" w:rsidRDefault="00A35D1A" w:rsidP="004E0ACD">
            <w:pPr>
              <w:adjustRightInd w:val="0"/>
              <w:snapToGrid w:val="0"/>
              <w:spacing w:line="200" w:lineRule="atLeast"/>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3,166.</w:t>
            </w:r>
            <w:r w:rsidR="004E0ACD" w:rsidRPr="00EA612D">
              <w:rPr>
                <w:rFonts w:ascii="Times New Roman" w:hAnsi="Times New Roman" w:cs="Times New Roman"/>
                <w:color w:val="000000" w:themeColor="text1"/>
                <w:sz w:val="16"/>
                <w:szCs w:val="16"/>
              </w:rPr>
              <w:t>53</w:t>
            </w:r>
          </w:p>
        </w:tc>
      </w:tr>
      <w:tr w:rsidR="00835FFC" w:rsidRPr="00EA612D" w:rsidTr="00A35D1A">
        <w:trPr>
          <w:trHeight w:val="284"/>
        </w:trPr>
        <w:tc>
          <w:tcPr>
            <w:tcW w:w="1109" w:type="pct"/>
            <w:shd w:val="clear" w:color="auto" w:fill="auto"/>
            <w:vAlign w:val="center"/>
            <w:hideMark/>
          </w:tcPr>
          <w:p w:rsidR="00A35D1A" w:rsidRPr="00EA612D" w:rsidRDefault="00A35D1A" w:rsidP="00A35D1A">
            <w:pPr>
              <w:adjustRightInd w:val="0"/>
              <w:snapToGrid w:val="0"/>
              <w:spacing w:line="200" w:lineRule="atLeas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lastRenderedPageBreak/>
              <w:t>3</w:t>
            </w:r>
            <w:r w:rsidRPr="00EA612D">
              <w:rPr>
                <w:rFonts w:ascii="Times New Roman" w:hAnsi="Times New Roman" w:cs="Times New Roman"/>
                <w:color w:val="000000" w:themeColor="text1"/>
                <w:sz w:val="16"/>
                <w:szCs w:val="16"/>
              </w:rPr>
              <w:t>、单项金额</w:t>
            </w:r>
            <w:proofErr w:type="gramStart"/>
            <w:r w:rsidRPr="00EA612D">
              <w:rPr>
                <w:rFonts w:ascii="Times New Roman" w:hAnsi="Times New Roman" w:cs="Times New Roman"/>
                <w:color w:val="000000" w:themeColor="text1"/>
                <w:sz w:val="16"/>
                <w:szCs w:val="16"/>
              </w:rPr>
              <w:t>不重大</w:t>
            </w:r>
            <w:proofErr w:type="gramEnd"/>
            <w:r w:rsidRPr="00EA612D">
              <w:rPr>
                <w:rFonts w:ascii="Times New Roman" w:hAnsi="Times New Roman" w:cs="Times New Roman"/>
                <w:color w:val="000000" w:themeColor="text1"/>
                <w:sz w:val="16"/>
                <w:szCs w:val="16"/>
              </w:rPr>
              <w:t>但单独计提坏账准备的应收账款</w:t>
            </w:r>
          </w:p>
        </w:tc>
        <w:tc>
          <w:tcPr>
            <w:tcW w:w="752" w:type="pct"/>
            <w:shd w:val="clear" w:color="auto" w:fill="auto"/>
            <w:noWrap/>
            <w:vAlign w:val="center"/>
          </w:tcPr>
          <w:p w:rsidR="00A35D1A" w:rsidRPr="00EA612D" w:rsidRDefault="00A35D1A" w:rsidP="00A35D1A">
            <w:pPr>
              <w:adjustRightInd w:val="0"/>
              <w:snapToGrid w:val="0"/>
              <w:spacing w:line="200" w:lineRule="atLeast"/>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7,092.36</w:t>
            </w:r>
          </w:p>
        </w:tc>
        <w:tc>
          <w:tcPr>
            <w:tcW w:w="796" w:type="pct"/>
            <w:shd w:val="clear" w:color="auto" w:fill="auto"/>
            <w:noWrap/>
            <w:vAlign w:val="center"/>
          </w:tcPr>
          <w:p w:rsidR="00A35D1A" w:rsidRPr="00EA612D" w:rsidRDefault="00A35D1A" w:rsidP="00A35D1A">
            <w:pPr>
              <w:adjustRightInd w:val="0"/>
              <w:snapToGrid w:val="0"/>
              <w:spacing w:line="200" w:lineRule="atLeast"/>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6,753.66</w:t>
            </w:r>
          </w:p>
        </w:tc>
        <w:tc>
          <w:tcPr>
            <w:tcW w:w="780" w:type="pct"/>
            <w:shd w:val="clear" w:color="auto" w:fill="auto"/>
            <w:noWrap/>
            <w:vAlign w:val="center"/>
          </w:tcPr>
          <w:p w:rsidR="00A35D1A" w:rsidRPr="00EA612D" w:rsidRDefault="00A35D1A" w:rsidP="00A35D1A">
            <w:pPr>
              <w:adjustRightInd w:val="0"/>
              <w:snapToGrid w:val="0"/>
              <w:spacing w:line="200" w:lineRule="atLeast"/>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16,599.28</w:t>
            </w:r>
          </w:p>
        </w:tc>
        <w:tc>
          <w:tcPr>
            <w:tcW w:w="779" w:type="pct"/>
            <w:shd w:val="clear" w:color="auto" w:fill="auto"/>
            <w:noWrap/>
            <w:vAlign w:val="center"/>
          </w:tcPr>
          <w:p w:rsidR="00A35D1A" w:rsidRPr="00EA612D" w:rsidRDefault="00A35D1A" w:rsidP="00966BDE">
            <w:pPr>
              <w:adjustRightInd w:val="0"/>
              <w:snapToGrid w:val="0"/>
              <w:spacing w:line="200" w:lineRule="atLeast"/>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5,289.</w:t>
            </w:r>
            <w:r w:rsidR="00966BDE" w:rsidRPr="00EA612D">
              <w:rPr>
                <w:rFonts w:ascii="Times New Roman" w:hAnsi="Times New Roman" w:cs="Times New Roman"/>
                <w:color w:val="000000" w:themeColor="text1"/>
                <w:sz w:val="16"/>
                <w:szCs w:val="16"/>
              </w:rPr>
              <w:t>69</w:t>
            </w:r>
          </w:p>
        </w:tc>
        <w:tc>
          <w:tcPr>
            <w:tcW w:w="783" w:type="pct"/>
            <w:vAlign w:val="center"/>
          </w:tcPr>
          <w:p w:rsidR="00A35D1A" w:rsidRPr="00EA612D" w:rsidRDefault="00A35D1A" w:rsidP="00A35D1A">
            <w:pPr>
              <w:adjustRightInd w:val="0"/>
              <w:snapToGrid w:val="0"/>
              <w:spacing w:line="200" w:lineRule="atLeast"/>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1,463.97</w:t>
            </w:r>
          </w:p>
        </w:tc>
      </w:tr>
      <w:tr w:rsidR="00835FFC" w:rsidRPr="00EA612D" w:rsidTr="00A35D1A">
        <w:trPr>
          <w:trHeight w:val="284"/>
        </w:trPr>
        <w:tc>
          <w:tcPr>
            <w:tcW w:w="1109" w:type="pct"/>
            <w:shd w:val="clear" w:color="auto" w:fill="auto"/>
            <w:vAlign w:val="center"/>
            <w:hideMark/>
          </w:tcPr>
          <w:p w:rsidR="00A35D1A" w:rsidRPr="00EA612D" w:rsidRDefault="00A35D1A" w:rsidP="00A35D1A">
            <w:pPr>
              <w:adjustRightInd w:val="0"/>
              <w:snapToGrid w:val="0"/>
              <w:spacing w:line="200" w:lineRule="atLeast"/>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合计</w:t>
            </w:r>
          </w:p>
        </w:tc>
        <w:tc>
          <w:tcPr>
            <w:tcW w:w="752" w:type="pct"/>
            <w:shd w:val="clear" w:color="auto" w:fill="auto"/>
            <w:noWrap/>
            <w:vAlign w:val="center"/>
          </w:tcPr>
          <w:p w:rsidR="00A35D1A" w:rsidRPr="00EA612D" w:rsidRDefault="00A35D1A" w:rsidP="00A35D1A">
            <w:pPr>
              <w:adjustRightInd w:val="0"/>
              <w:snapToGrid w:val="0"/>
              <w:spacing w:line="200" w:lineRule="atLeast"/>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305,853.57</w:t>
            </w:r>
          </w:p>
        </w:tc>
        <w:tc>
          <w:tcPr>
            <w:tcW w:w="796" w:type="pct"/>
            <w:shd w:val="clear" w:color="auto" w:fill="auto"/>
            <w:noWrap/>
            <w:vAlign w:val="center"/>
          </w:tcPr>
          <w:p w:rsidR="00A35D1A" w:rsidRPr="00EA612D" w:rsidRDefault="00A35D1A" w:rsidP="00A35D1A">
            <w:pPr>
              <w:adjustRightInd w:val="0"/>
              <w:snapToGrid w:val="0"/>
              <w:spacing w:line="200" w:lineRule="atLeast"/>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88,438.2</w:t>
            </w:r>
            <w:r w:rsidR="00966BDE" w:rsidRPr="00EA612D">
              <w:rPr>
                <w:rFonts w:ascii="Times New Roman" w:hAnsi="Times New Roman" w:cs="Times New Roman"/>
                <w:color w:val="000000" w:themeColor="text1"/>
                <w:sz w:val="16"/>
                <w:szCs w:val="16"/>
              </w:rPr>
              <w:t>5</w:t>
            </w:r>
          </w:p>
        </w:tc>
        <w:tc>
          <w:tcPr>
            <w:tcW w:w="780" w:type="pct"/>
            <w:shd w:val="clear" w:color="auto" w:fill="auto"/>
            <w:noWrap/>
            <w:vAlign w:val="center"/>
          </w:tcPr>
          <w:p w:rsidR="00A35D1A" w:rsidRPr="00EA612D" w:rsidRDefault="00A35D1A" w:rsidP="00A35D1A">
            <w:pPr>
              <w:adjustRightInd w:val="0"/>
              <w:snapToGrid w:val="0"/>
              <w:spacing w:line="200" w:lineRule="atLeast"/>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374,765.20</w:t>
            </w:r>
          </w:p>
        </w:tc>
        <w:tc>
          <w:tcPr>
            <w:tcW w:w="779" w:type="pct"/>
            <w:shd w:val="clear" w:color="auto" w:fill="auto"/>
            <w:noWrap/>
            <w:vAlign w:val="center"/>
          </w:tcPr>
          <w:p w:rsidR="00A35D1A" w:rsidRPr="00EA612D" w:rsidRDefault="00A35D1A" w:rsidP="00A35D1A">
            <w:pPr>
              <w:adjustRightInd w:val="0"/>
              <w:snapToGrid w:val="0"/>
              <w:spacing w:line="200" w:lineRule="atLeast"/>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56,319.97</w:t>
            </w:r>
          </w:p>
        </w:tc>
        <w:tc>
          <w:tcPr>
            <w:tcW w:w="783" w:type="pct"/>
            <w:vAlign w:val="center"/>
          </w:tcPr>
          <w:p w:rsidR="00A35D1A" w:rsidRPr="00EA612D" w:rsidRDefault="00A35D1A" w:rsidP="004E0ACD">
            <w:pPr>
              <w:adjustRightInd w:val="0"/>
              <w:snapToGrid w:val="0"/>
              <w:spacing w:line="200" w:lineRule="atLeast"/>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32,118.</w:t>
            </w:r>
            <w:r w:rsidR="004E0ACD" w:rsidRPr="00EA612D">
              <w:rPr>
                <w:rFonts w:ascii="Times New Roman" w:hAnsi="Times New Roman" w:cs="Times New Roman"/>
                <w:color w:val="000000" w:themeColor="text1"/>
                <w:sz w:val="16"/>
                <w:szCs w:val="16"/>
              </w:rPr>
              <w:t>28</w:t>
            </w:r>
          </w:p>
        </w:tc>
      </w:tr>
    </w:tbl>
    <w:p w:rsidR="00A35D1A" w:rsidRPr="00EA612D" w:rsidRDefault="00A35D1A" w:rsidP="00F663C7">
      <w:pPr>
        <w:ind w:firstLineChars="250" w:firstLine="600"/>
        <w:rPr>
          <w:rStyle w:val="a5"/>
          <w:rFonts w:asciiTheme="minorEastAsia" w:hAnsiTheme="minorEastAsia" w:cs="Times New Roman"/>
          <w:b w:val="0"/>
          <w:color w:val="000000" w:themeColor="text1"/>
          <w:sz w:val="24"/>
          <w:szCs w:val="24"/>
        </w:rPr>
      </w:pPr>
      <w:r w:rsidRPr="00EA612D">
        <w:rPr>
          <w:rStyle w:val="a5"/>
          <w:rFonts w:asciiTheme="minorEastAsia" w:hAnsiTheme="minorEastAsia" w:cs="Times New Roman"/>
          <w:b w:val="0"/>
          <w:color w:val="000000" w:themeColor="text1"/>
          <w:sz w:val="24"/>
          <w:szCs w:val="24"/>
        </w:rPr>
        <w:t>2016</w:t>
      </w:r>
      <w:r w:rsidRPr="00EA612D">
        <w:rPr>
          <w:rStyle w:val="a5"/>
          <w:rFonts w:asciiTheme="minorEastAsia" w:hAnsiTheme="minorEastAsia" w:cs="Times New Roman" w:hint="eastAsia"/>
          <w:b w:val="0"/>
          <w:color w:val="000000" w:themeColor="text1"/>
          <w:sz w:val="24"/>
          <w:szCs w:val="24"/>
        </w:rPr>
        <w:t>年末公司应收账款账龄与年初对比情况如下：</w:t>
      </w:r>
    </w:p>
    <w:p w:rsidR="00A35D1A" w:rsidRPr="00EA612D" w:rsidRDefault="00A35D1A" w:rsidP="00A35D1A">
      <w:pPr>
        <w:jc w:val="right"/>
        <w:rPr>
          <w:rStyle w:val="a5"/>
          <w:rFonts w:ascii="Times New Roman" w:hAnsi="Times New Roman" w:cs="Times New Roman"/>
          <w:b w:val="0"/>
          <w:color w:val="000000" w:themeColor="text1"/>
          <w:szCs w:val="21"/>
        </w:rPr>
      </w:pPr>
      <w:r w:rsidRPr="00EA612D">
        <w:rPr>
          <w:rStyle w:val="a5"/>
          <w:rFonts w:ascii="Times New Roman" w:hAnsi="Times New Roman" w:cs="Times New Roman"/>
          <w:b w:val="0"/>
          <w:color w:val="000000" w:themeColor="text1"/>
          <w:szCs w:val="21"/>
        </w:rPr>
        <w:t>单位：人民币万元</w:t>
      </w:r>
    </w:p>
    <w:tbl>
      <w:tblPr>
        <w:tblW w:w="5000" w:type="pct"/>
        <w:tblBorders>
          <w:top w:val="single" w:sz="12" w:space="0" w:color="auto"/>
          <w:bottom w:val="single" w:sz="12" w:space="0" w:color="auto"/>
          <w:insideH w:val="dotted" w:sz="4" w:space="0" w:color="auto"/>
          <w:insideV w:val="dotted" w:sz="4" w:space="0" w:color="auto"/>
        </w:tblBorders>
        <w:tblCellMar>
          <w:top w:w="28" w:type="dxa"/>
          <w:bottom w:w="28" w:type="dxa"/>
        </w:tblCellMar>
        <w:tblLook w:val="04A0" w:firstRow="1" w:lastRow="0" w:firstColumn="1" w:lastColumn="0" w:noHBand="0" w:noVBand="1"/>
      </w:tblPr>
      <w:tblGrid>
        <w:gridCol w:w="3557"/>
        <w:gridCol w:w="2246"/>
        <w:gridCol w:w="2719"/>
      </w:tblGrid>
      <w:tr w:rsidR="00835FFC" w:rsidRPr="00EA612D" w:rsidTr="00A35D1A">
        <w:trPr>
          <w:trHeight w:val="423"/>
          <w:tblHeader/>
        </w:trPr>
        <w:tc>
          <w:tcPr>
            <w:tcW w:w="2087" w:type="pct"/>
            <w:shd w:val="clear" w:color="auto" w:fill="auto"/>
            <w:vAlign w:val="center"/>
            <w:hideMark/>
          </w:tcPr>
          <w:p w:rsidR="00A35D1A" w:rsidRPr="00EA612D" w:rsidRDefault="00A35D1A" w:rsidP="00A35D1A">
            <w:pPr>
              <w:adjustRightInd w:val="0"/>
              <w:snapToGrid w:val="0"/>
              <w:spacing w:line="200" w:lineRule="atLeast"/>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账龄</w:t>
            </w:r>
          </w:p>
        </w:tc>
        <w:tc>
          <w:tcPr>
            <w:tcW w:w="1318" w:type="pct"/>
            <w:shd w:val="clear" w:color="auto" w:fill="auto"/>
            <w:noWrap/>
            <w:vAlign w:val="center"/>
            <w:hideMark/>
          </w:tcPr>
          <w:p w:rsidR="00A35D1A" w:rsidRPr="00EA612D" w:rsidRDefault="00A35D1A" w:rsidP="00A35D1A">
            <w:pPr>
              <w:adjustRightInd w:val="0"/>
              <w:snapToGrid w:val="0"/>
              <w:spacing w:line="200" w:lineRule="atLeast"/>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期末账面余额</w:t>
            </w:r>
          </w:p>
        </w:tc>
        <w:tc>
          <w:tcPr>
            <w:tcW w:w="1595" w:type="pct"/>
            <w:shd w:val="clear" w:color="auto" w:fill="auto"/>
            <w:vAlign w:val="center"/>
          </w:tcPr>
          <w:p w:rsidR="00A35D1A" w:rsidRPr="00EA612D" w:rsidRDefault="00A35D1A" w:rsidP="00A35D1A">
            <w:pPr>
              <w:adjustRightInd w:val="0"/>
              <w:snapToGrid w:val="0"/>
              <w:spacing w:line="200" w:lineRule="atLeast"/>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年初账面余额</w:t>
            </w:r>
          </w:p>
        </w:tc>
      </w:tr>
      <w:tr w:rsidR="00835FFC" w:rsidRPr="00EA612D" w:rsidTr="00A35D1A">
        <w:trPr>
          <w:trHeight w:val="269"/>
        </w:trPr>
        <w:tc>
          <w:tcPr>
            <w:tcW w:w="2087" w:type="pct"/>
            <w:shd w:val="clear" w:color="auto" w:fill="auto"/>
            <w:vAlign w:val="center"/>
            <w:hideMark/>
          </w:tcPr>
          <w:p w:rsidR="00A35D1A" w:rsidRPr="00EA612D" w:rsidRDefault="00A35D1A" w:rsidP="00A35D1A">
            <w:pPr>
              <w:adjustRightInd w:val="0"/>
              <w:snapToGrid w:val="0"/>
              <w:spacing w:line="200" w:lineRule="atLeas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1</w:t>
            </w:r>
            <w:r w:rsidRPr="00EA612D">
              <w:rPr>
                <w:rFonts w:ascii="Times New Roman" w:hAnsi="Times New Roman" w:cs="Times New Roman"/>
                <w:color w:val="000000" w:themeColor="text1"/>
                <w:sz w:val="16"/>
                <w:szCs w:val="16"/>
              </w:rPr>
              <w:t>年以内（含</w:t>
            </w:r>
            <w:r w:rsidRPr="00EA612D">
              <w:rPr>
                <w:rFonts w:ascii="Times New Roman" w:hAnsi="Times New Roman" w:cs="Times New Roman"/>
                <w:color w:val="000000" w:themeColor="text1"/>
                <w:sz w:val="16"/>
                <w:szCs w:val="16"/>
              </w:rPr>
              <w:t>1</w:t>
            </w:r>
            <w:r w:rsidRPr="00EA612D">
              <w:rPr>
                <w:rFonts w:ascii="Times New Roman" w:hAnsi="Times New Roman" w:cs="Times New Roman"/>
                <w:color w:val="000000" w:themeColor="text1"/>
                <w:sz w:val="16"/>
                <w:szCs w:val="16"/>
              </w:rPr>
              <w:t>年）</w:t>
            </w:r>
          </w:p>
        </w:tc>
        <w:tc>
          <w:tcPr>
            <w:tcW w:w="1318" w:type="pct"/>
            <w:shd w:val="clear" w:color="auto" w:fill="auto"/>
            <w:noWrap/>
            <w:vAlign w:val="bottom"/>
          </w:tcPr>
          <w:p w:rsidR="00A35D1A" w:rsidRPr="00EA612D" w:rsidRDefault="00A35D1A" w:rsidP="00A35D1A">
            <w:pPr>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 xml:space="preserve">     129,320.38 </w:t>
            </w:r>
          </w:p>
        </w:tc>
        <w:tc>
          <w:tcPr>
            <w:tcW w:w="1595" w:type="pct"/>
            <w:shd w:val="clear" w:color="auto" w:fill="auto"/>
            <w:noWrap/>
            <w:vAlign w:val="bottom"/>
          </w:tcPr>
          <w:p w:rsidR="00A35D1A" w:rsidRPr="00EA612D" w:rsidRDefault="00A35D1A" w:rsidP="00A35D1A">
            <w:pPr>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 xml:space="preserve">   163,553.63 </w:t>
            </w:r>
          </w:p>
        </w:tc>
      </w:tr>
      <w:tr w:rsidR="00835FFC" w:rsidRPr="00EA612D" w:rsidTr="00A35D1A">
        <w:trPr>
          <w:trHeight w:val="284"/>
        </w:trPr>
        <w:tc>
          <w:tcPr>
            <w:tcW w:w="2087" w:type="pct"/>
            <w:shd w:val="clear" w:color="auto" w:fill="auto"/>
            <w:vAlign w:val="center"/>
            <w:hideMark/>
          </w:tcPr>
          <w:p w:rsidR="00A35D1A" w:rsidRPr="00EA612D" w:rsidRDefault="00A35D1A" w:rsidP="00A35D1A">
            <w:pPr>
              <w:adjustRightInd w:val="0"/>
              <w:snapToGrid w:val="0"/>
              <w:spacing w:line="200" w:lineRule="atLeas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1</w:t>
            </w:r>
            <w:r w:rsidRPr="00EA612D">
              <w:rPr>
                <w:rFonts w:ascii="Times New Roman" w:hAnsi="Times New Roman" w:cs="Times New Roman"/>
                <w:color w:val="000000" w:themeColor="text1"/>
                <w:sz w:val="16"/>
                <w:szCs w:val="16"/>
              </w:rPr>
              <w:t>－</w:t>
            </w:r>
            <w:r w:rsidRPr="00EA612D">
              <w:rPr>
                <w:rFonts w:ascii="Times New Roman" w:hAnsi="Times New Roman" w:cs="Times New Roman"/>
                <w:color w:val="000000" w:themeColor="text1"/>
                <w:sz w:val="16"/>
                <w:szCs w:val="16"/>
              </w:rPr>
              <w:t>2</w:t>
            </w:r>
            <w:r w:rsidRPr="00EA612D">
              <w:rPr>
                <w:rFonts w:ascii="Times New Roman" w:hAnsi="Times New Roman" w:cs="Times New Roman"/>
                <w:color w:val="000000" w:themeColor="text1"/>
                <w:sz w:val="16"/>
                <w:szCs w:val="16"/>
              </w:rPr>
              <w:t>年（含</w:t>
            </w:r>
            <w:r w:rsidRPr="00EA612D">
              <w:rPr>
                <w:rFonts w:ascii="Times New Roman" w:hAnsi="Times New Roman" w:cs="Times New Roman"/>
                <w:color w:val="000000" w:themeColor="text1"/>
                <w:sz w:val="16"/>
                <w:szCs w:val="16"/>
              </w:rPr>
              <w:t>2</w:t>
            </w:r>
            <w:r w:rsidRPr="00EA612D">
              <w:rPr>
                <w:rFonts w:ascii="Times New Roman" w:hAnsi="Times New Roman" w:cs="Times New Roman"/>
                <w:color w:val="000000" w:themeColor="text1"/>
                <w:sz w:val="16"/>
                <w:szCs w:val="16"/>
              </w:rPr>
              <w:t>年）</w:t>
            </w:r>
          </w:p>
        </w:tc>
        <w:tc>
          <w:tcPr>
            <w:tcW w:w="1318" w:type="pct"/>
            <w:shd w:val="clear" w:color="auto" w:fill="auto"/>
            <w:noWrap/>
            <w:vAlign w:val="bottom"/>
          </w:tcPr>
          <w:p w:rsidR="00A35D1A" w:rsidRPr="00EA612D" w:rsidRDefault="00A35D1A" w:rsidP="00A35D1A">
            <w:pPr>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 xml:space="preserve">      21,397.11 </w:t>
            </w:r>
          </w:p>
        </w:tc>
        <w:tc>
          <w:tcPr>
            <w:tcW w:w="1595" w:type="pct"/>
            <w:shd w:val="clear" w:color="auto" w:fill="auto"/>
            <w:noWrap/>
            <w:vAlign w:val="bottom"/>
          </w:tcPr>
          <w:p w:rsidR="00A35D1A" w:rsidRPr="00EA612D" w:rsidRDefault="00A35D1A" w:rsidP="00A35D1A">
            <w:pPr>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 xml:space="preserve">    67,425.11 </w:t>
            </w:r>
          </w:p>
        </w:tc>
      </w:tr>
      <w:tr w:rsidR="00835FFC" w:rsidRPr="00EA612D" w:rsidTr="00A35D1A">
        <w:trPr>
          <w:trHeight w:val="284"/>
        </w:trPr>
        <w:tc>
          <w:tcPr>
            <w:tcW w:w="2087" w:type="pct"/>
            <w:shd w:val="clear" w:color="auto" w:fill="auto"/>
            <w:vAlign w:val="center"/>
          </w:tcPr>
          <w:p w:rsidR="00A35D1A" w:rsidRPr="00EA612D" w:rsidRDefault="00A35D1A" w:rsidP="00A35D1A">
            <w:pPr>
              <w:adjustRightInd w:val="0"/>
              <w:snapToGrid w:val="0"/>
              <w:spacing w:line="200" w:lineRule="atLeas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2</w:t>
            </w:r>
            <w:r w:rsidRPr="00EA612D">
              <w:rPr>
                <w:rFonts w:ascii="Times New Roman" w:hAnsi="Times New Roman" w:cs="Times New Roman"/>
                <w:color w:val="000000" w:themeColor="text1"/>
                <w:sz w:val="16"/>
                <w:szCs w:val="16"/>
              </w:rPr>
              <w:t>－</w:t>
            </w:r>
            <w:r w:rsidRPr="00EA612D">
              <w:rPr>
                <w:rFonts w:ascii="Times New Roman" w:hAnsi="Times New Roman" w:cs="Times New Roman"/>
                <w:color w:val="000000" w:themeColor="text1"/>
                <w:sz w:val="16"/>
                <w:szCs w:val="16"/>
              </w:rPr>
              <w:t>3</w:t>
            </w:r>
            <w:r w:rsidRPr="00EA612D">
              <w:rPr>
                <w:rFonts w:ascii="Times New Roman" w:hAnsi="Times New Roman" w:cs="Times New Roman"/>
                <w:color w:val="000000" w:themeColor="text1"/>
                <w:sz w:val="16"/>
                <w:szCs w:val="16"/>
              </w:rPr>
              <w:t>年（含</w:t>
            </w:r>
            <w:r w:rsidRPr="00EA612D">
              <w:rPr>
                <w:rFonts w:ascii="Times New Roman" w:hAnsi="Times New Roman" w:cs="Times New Roman"/>
                <w:color w:val="000000" w:themeColor="text1"/>
                <w:sz w:val="16"/>
                <w:szCs w:val="16"/>
              </w:rPr>
              <w:t>3</w:t>
            </w:r>
            <w:r w:rsidRPr="00EA612D">
              <w:rPr>
                <w:rFonts w:ascii="Times New Roman" w:hAnsi="Times New Roman" w:cs="Times New Roman"/>
                <w:color w:val="000000" w:themeColor="text1"/>
                <w:sz w:val="16"/>
                <w:szCs w:val="16"/>
              </w:rPr>
              <w:t>年）</w:t>
            </w:r>
          </w:p>
        </w:tc>
        <w:tc>
          <w:tcPr>
            <w:tcW w:w="1318" w:type="pct"/>
            <w:shd w:val="clear" w:color="auto" w:fill="auto"/>
            <w:noWrap/>
            <w:vAlign w:val="bottom"/>
          </w:tcPr>
          <w:p w:rsidR="00A35D1A" w:rsidRPr="00EA612D" w:rsidRDefault="00A35D1A" w:rsidP="00A35D1A">
            <w:pPr>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 xml:space="preserve">      44,220.98 </w:t>
            </w:r>
          </w:p>
        </w:tc>
        <w:tc>
          <w:tcPr>
            <w:tcW w:w="1595" w:type="pct"/>
            <w:shd w:val="clear" w:color="auto" w:fill="auto"/>
            <w:noWrap/>
            <w:vAlign w:val="bottom"/>
          </w:tcPr>
          <w:p w:rsidR="00A35D1A" w:rsidRPr="00EA612D" w:rsidRDefault="00A35D1A" w:rsidP="00A35D1A">
            <w:pPr>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 xml:space="preserve">    69,315.96 </w:t>
            </w:r>
          </w:p>
        </w:tc>
      </w:tr>
      <w:tr w:rsidR="00835FFC" w:rsidRPr="00EA612D" w:rsidTr="00A35D1A">
        <w:trPr>
          <w:trHeight w:val="284"/>
        </w:trPr>
        <w:tc>
          <w:tcPr>
            <w:tcW w:w="2087" w:type="pct"/>
            <w:shd w:val="clear" w:color="auto" w:fill="auto"/>
            <w:vAlign w:val="center"/>
          </w:tcPr>
          <w:p w:rsidR="00A35D1A" w:rsidRPr="00EA612D" w:rsidRDefault="00A35D1A" w:rsidP="00A35D1A">
            <w:pPr>
              <w:adjustRightInd w:val="0"/>
              <w:snapToGrid w:val="0"/>
              <w:spacing w:line="200" w:lineRule="atLeas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3</w:t>
            </w:r>
            <w:r w:rsidRPr="00EA612D">
              <w:rPr>
                <w:rFonts w:ascii="Times New Roman" w:hAnsi="Times New Roman" w:cs="Times New Roman"/>
                <w:color w:val="000000" w:themeColor="text1"/>
                <w:sz w:val="16"/>
                <w:szCs w:val="16"/>
              </w:rPr>
              <w:t>－</w:t>
            </w:r>
            <w:r w:rsidRPr="00EA612D">
              <w:rPr>
                <w:rFonts w:ascii="Times New Roman" w:hAnsi="Times New Roman" w:cs="Times New Roman"/>
                <w:color w:val="000000" w:themeColor="text1"/>
                <w:sz w:val="16"/>
                <w:szCs w:val="16"/>
              </w:rPr>
              <w:t>4</w:t>
            </w:r>
            <w:r w:rsidRPr="00EA612D">
              <w:rPr>
                <w:rFonts w:ascii="Times New Roman" w:hAnsi="Times New Roman" w:cs="Times New Roman"/>
                <w:color w:val="000000" w:themeColor="text1"/>
                <w:sz w:val="16"/>
                <w:szCs w:val="16"/>
              </w:rPr>
              <w:t>年（含</w:t>
            </w:r>
            <w:r w:rsidRPr="00EA612D">
              <w:rPr>
                <w:rFonts w:ascii="Times New Roman" w:hAnsi="Times New Roman" w:cs="Times New Roman"/>
                <w:color w:val="000000" w:themeColor="text1"/>
                <w:sz w:val="16"/>
                <w:szCs w:val="16"/>
              </w:rPr>
              <w:t>4</w:t>
            </w:r>
            <w:r w:rsidRPr="00EA612D">
              <w:rPr>
                <w:rFonts w:ascii="Times New Roman" w:hAnsi="Times New Roman" w:cs="Times New Roman"/>
                <w:color w:val="000000" w:themeColor="text1"/>
                <w:sz w:val="16"/>
                <w:szCs w:val="16"/>
              </w:rPr>
              <w:t>年）</w:t>
            </w:r>
          </w:p>
        </w:tc>
        <w:tc>
          <w:tcPr>
            <w:tcW w:w="1318" w:type="pct"/>
            <w:shd w:val="clear" w:color="auto" w:fill="auto"/>
            <w:noWrap/>
            <w:vAlign w:val="bottom"/>
          </w:tcPr>
          <w:p w:rsidR="00A35D1A" w:rsidRPr="00EA612D" w:rsidRDefault="00A35D1A" w:rsidP="00A35D1A">
            <w:pPr>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 xml:space="preserve">      46,895.80 </w:t>
            </w:r>
          </w:p>
        </w:tc>
        <w:tc>
          <w:tcPr>
            <w:tcW w:w="1595" w:type="pct"/>
            <w:shd w:val="clear" w:color="auto" w:fill="auto"/>
            <w:noWrap/>
            <w:vAlign w:val="bottom"/>
          </w:tcPr>
          <w:p w:rsidR="00A35D1A" w:rsidRPr="00EA612D" w:rsidRDefault="00A35D1A" w:rsidP="00A35D1A">
            <w:pPr>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 xml:space="preserve">    34,881.71 </w:t>
            </w:r>
          </w:p>
        </w:tc>
      </w:tr>
      <w:tr w:rsidR="00835FFC" w:rsidRPr="00EA612D" w:rsidTr="00A35D1A">
        <w:trPr>
          <w:trHeight w:val="284"/>
        </w:trPr>
        <w:tc>
          <w:tcPr>
            <w:tcW w:w="2087" w:type="pct"/>
            <w:shd w:val="clear" w:color="auto" w:fill="auto"/>
            <w:vAlign w:val="center"/>
          </w:tcPr>
          <w:p w:rsidR="00A35D1A" w:rsidRPr="00EA612D" w:rsidRDefault="00A35D1A" w:rsidP="00A35D1A">
            <w:pPr>
              <w:adjustRightInd w:val="0"/>
              <w:snapToGrid w:val="0"/>
              <w:spacing w:line="200" w:lineRule="atLeas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4</w:t>
            </w:r>
            <w:r w:rsidRPr="00EA612D">
              <w:rPr>
                <w:rFonts w:ascii="Times New Roman" w:hAnsi="Times New Roman" w:cs="Times New Roman"/>
                <w:color w:val="000000" w:themeColor="text1"/>
                <w:sz w:val="16"/>
                <w:szCs w:val="16"/>
              </w:rPr>
              <w:t>－</w:t>
            </w:r>
            <w:r w:rsidRPr="00EA612D">
              <w:rPr>
                <w:rFonts w:ascii="Times New Roman" w:hAnsi="Times New Roman" w:cs="Times New Roman"/>
                <w:color w:val="000000" w:themeColor="text1"/>
                <w:sz w:val="16"/>
                <w:szCs w:val="16"/>
              </w:rPr>
              <w:t>5</w:t>
            </w:r>
            <w:r w:rsidRPr="00EA612D">
              <w:rPr>
                <w:rFonts w:ascii="Times New Roman" w:hAnsi="Times New Roman" w:cs="Times New Roman"/>
                <w:color w:val="000000" w:themeColor="text1"/>
                <w:sz w:val="16"/>
                <w:szCs w:val="16"/>
              </w:rPr>
              <w:t>年（含</w:t>
            </w:r>
            <w:r w:rsidRPr="00EA612D">
              <w:rPr>
                <w:rFonts w:ascii="Times New Roman" w:hAnsi="Times New Roman" w:cs="Times New Roman"/>
                <w:color w:val="000000" w:themeColor="text1"/>
                <w:sz w:val="16"/>
                <w:szCs w:val="16"/>
              </w:rPr>
              <w:t>5</w:t>
            </w:r>
            <w:r w:rsidRPr="00EA612D">
              <w:rPr>
                <w:rFonts w:ascii="Times New Roman" w:hAnsi="Times New Roman" w:cs="Times New Roman"/>
                <w:color w:val="000000" w:themeColor="text1"/>
                <w:sz w:val="16"/>
                <w:szCs w:val="16"/>
              </w:rPr>
              <w:t>年）</w:t>
            </w:r>
          </w:p>
        </w:tc>
        <w:tc>
          <w:tcPr>
            <w:tcW w:w="1318" w:type="pct"/>
            <w:shd w:val="clear" w:color="auto" w:fill="auto"/>
            <w:noWrap/>
            <w:vAlign w:val="bottom"/>
          </w:tcPr>
          <w:p w:rsidR="00A35D1A" w:rsidRPr="00EA612D" w:rsidRDefault="00A35D1A" w:rsidP="00A35D1A">
            <w:pPr>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 xml:space="preserve">      27,741.97 </w:t>
            </w:r>
          </w:p>
        </w:tc>
        <w:tc>
          <w:tcPr>
            <w:tcW w:w="1595" w:type="pct"/>
            <w:shd w:val="clear" w:color="auto" w:fill="auto"/>
            <w:noWrap/>
            <w:vAlign w:val="bottom"/>
          </w:tcPr>
          <w:p w:rsidR="00A35D1A" w:rsidRPr="00EA612D" w:rsidRDefault="00A35D1A" w:rsidP="00A35D1A">
            <w:pPr>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 xml:space="preserve">     8,696.38 </w:t>
            </w:r>
          </w:p>
        </w:tc>
      </w:tr>
      <w:tr w:rsidR="00835FFC" w:rsidRPr="00EA612D" w:rsidTr="00A35D1A">
        <w:trPr>
          <w:trHeight w:val="284"/>
        </w:trPr>
        <w:tc>
          <w:tcPr>
            <w:tcW w:w="2087" w:type="pct"/>
            <w:shd w:val="clear" w:color="auto" w:fill="auto"/>
            <w:vAlign w:val="center"/>
            <w:hideMark/>
          </w:tcPr>
          <w:p w:rsidR="00A35D1A" w:rsidRPr="00EA612D" w:rsidRDefault="00A35D1A" w:rsidP="00A35D1A">
            <w:pPr>
              <w:adjustRightInd w:val="0"/>
              <w:snapToGrid w:val="0"/>
              <w:spacing w:line="200" w:lineRule="atLeas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5</w:t>
            </w:r>
            <w:r w:rsidRPr="00EA612D">
              <w:rPr>
                <w:rFonts w:ascii="Times New Roman" w:hAnsi="Times New Roman" w:cs="Times New Roman"/>
                <w:color w:val="000000" w:themeColor="text1"/>
                <w:sz w:val="16"/>
                <w:szCs w:val="16"/>
              </w:rPr>
              <w:t>年以上</w:t>
            </w:r>
          </w:p>
        </w:tc>
        <w:tc>
          <w:tcPr>
            <w:tcW w:w="1318" w:type="pct"/>
            <w:shd w:val="clear" w:color="auto" w:fill="auto"/>
            <w:noWrap/>
            <w:vAlign w:val="bottom"/>
          </w:tcPr>
          <w:p w:rsidR="00A35D1A" w:rsidRPr="00EA612D" w:rsidRDefault="00A35D1A" w:rsidP="00A35D1A">
            <w:pPr>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 xml:space="preserve">      36,277.33 </w:t>
            </w:r>
          </w:p>
        </w:tc>
        <w:tc>
          <w:tcPr>
            <w:tcW w:w="1595" w:type="pct"/>
            <w:shd w:val="clear" w:color="auto" w:fill="auto"/>
            <w:noWrap/>
            <w:vAlign w:val="bottom"/>
          </w:tcPr>
          <w:p w:rsidR="00A35D1A" w:rsidRPr="00EA612D" w:rsidRDefault="00A35D1A" w:rsidP="00A35D1A">
            <w:pPr>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 xml:space="preserve">    30,892.41 </w:t>
            </w:r>
          </w:p>
        </w:tc>
      </w:tr>
      <w:tr w:rsidR="00835FFC" w:rsidRPr="00EA612D" w:rsidTr="00A35D1A">
        <w:trPr>
          <w:trHeight w:val="284"/>
        </w:trPr>
        <w:tc>
          <w:tcPr>
            <w:tcW w:w="2087" w:type="pct"/>
            <w:shd w:val="clear" w:color="auto" w:fill="auto"/>
            <w:vAlign w:val="center"/>
            <w:hideMark/>
          </w:tcPr>
          <w:p w:rsidR="00A35D1A" w:rsidRPr="00EA612D" w:rsidRDefault="00A35D1A" w:rsidP="00A35D1A">
            <w:pPr>
              <w:adjustRightInd w:val="0"/>
              <w:snapToGrid w:val="0"/>
              <w:spacing w:line="200" w:lineRule="atLeast"/>
              <w:jc w:val="center"/>
              <w:rPr>
                <w:rFonts w:asciiTheme="minorEastAsia" w:hAnsiTheme="minorEastAsia" w:cs="Times New Roman"/>
                <w:color w:val="000000" w:themeColor="text1"/>
                <w:sz w:val="16"/>
                <w:szCs w:val="16"/>
              </w:rPr>
            </w:pPr>
            <w:r w:rsidRPr="00EA612D">
              <w:rPr>
                <w:rFonts w:asciiTheme="minorEastAsia" w:hAnsiTheme="minorEastAsia" w:cs="Times New Roman"/>
                <w:color w:val="000000" w:themeColor="text1"/>
                <w:sz w:val="16"/>
                <w:szCs w:val="16"/>
              </w:rPr>
              <w:t>合计</w:t>
            </w:r>
          </w:p>
        </w:tc>
        <w:tc>
          <w:tcPr>
            <w:tcW w:w="1318" w:type="pct"/>
            <w:shd w:val="clear" w:color="auto" w:fill="auto"/>
            <w:noWrap/>
            <w:vAlign w:val="bottom"/>
          </w:tcPr>
          <w:p w:rsidR="00A35D1A" w:rsidRPr="00EA612D" w:rsidRDefault="00A35D1A" w:rsidP="00A35D1A">
            <w:pPr>
              <w:jc w:val="right"/>
              <w:rPr>
                <w:rFonts w:asciiTheme="minorEastAsia" w:hAnsiTheme="minorEastAsia" w:cs="Times New Roman"/>
                <w:color w:val="000000" w:themeColor="text1"/>
                <w:sz w:val="16"/>
                <w:szCs w:val="16"/>
              </w:rPr>
            </w:pPr>
            <w:r w:rsidRPr="00EA612D">
              <w:rPr>
                <w:rFonts w:asciiTheme="minorEastAsia" w:hAnsiTheme="minorEastAsia" w:cs="Times New Roman"/>
                <w:color w:val="000000" w:themeColor="text1"/>
                <w:sz w:val="16"/>
                <w:szCs w:val="16"/>
              </w:rPr>
              <w:t xml:space="preserve">     305,853.57 </w:t>
            </w:r>
          </w:p>
        </w:tc>
        <w:tc>
          <w:tcPr>
            <w:tcW w:w="1595" w:type="pct"/>
            <w:shd w:val="clear" w:color="auto" w:fill="auto"/>
            <w:noWrap/>
            <w:vAlign w:val="bottom"/>
          </w:tcPr>
          <w:p w:rsidR="00A35D1A" w:rsidRPr="00EA612D" w:rsidRDefault="00A35D1A" w:rsidP="00A35D1A">
            <w:pPr>
              <w:jc w:val="right"/>
              <w:rPr>
                <w:rFonts w:asciiTheme="minorEastAsia" w:hAnsiTheme="minorEastAsia" w:cs="Times New Roman"/>
                <w:color w:val="000000" w:themeColor="text1"/>
                <w:sz w:val="16"/>
                <w:szCs w:val="16"/>
              </w:rPr>
            </w:pPr>
            <w:r w:rsidRPr="00EA612D">
              <w:rPr>
                <w:rFonts w:asciiTheme="minorEastAsia" w:hAnsiTheme="minorEastAsia" w:cs="Times New Roman"/>
                <w:color w:val="000000" w:themeColor="text1"/>
                <w:sz w:val="16"/>
                <w:szCs w:val="16"/>
              </w:rPr>
              <w:t xml:space="preserve">   374,765.20 </w:t>
            </w:r>
          </w:p>
        </w:tc>
      </w:tr>
    </w:tbl>
    <w:p w:rsidR="00A35D1A" w:rsidRPr="00EA612D" w:rsidRDefault="00A35D1A" w:rsidP="00F663C7">
      <w:pPr>
        <w:spacing w:beforeLines="50" w:before="156" w:afterLines="50" w:after="156" w:line="360" w:lineRule="auto"/>
        <w:ind w:leftChars="50" w:left="105" w:rightChars="50" w:right="105" w:firstLineChars="200" w:firstLine="480"/>
        <w:rPr>
          <w:rStyle w:val="a5"/>
          <w:rFonts w:asciiTheme="minorEastAsia" w:hAnsiTheme="minorEastAsia" w:cs="Times New Roman"/>
          <w:b w:val="0"/>
          <w:color w:val="000000" w:themeColor="text1"/>
          <w:sz w:val="24"/>
          <w:szCs w:val="24"/>
        </w:rPr>
      </w:pPr>
      <w:r w:rsidRPr="00EA612D">
        <w:rPr>
          <w:rStyle w:val="a5"/>
          <w:rFonts w:asciiTheme="minorEastAsia" w:hAnsiTheme="minorEastAsia" w:cs="Times New Roman"/>
          <w:b w:val="0"/>
          <w:color w:val="000000" w:themeColor="text1"/>
          <w:sz w:val="24"/>
          <w:szCs w:val="24"/>
        </w:rPr>
        <w:t>从公司应收账款账</w:t>
      </w:r>
      <w:proofErr w:type="gramStart"/>
      <w:r w:rsidRPr="00EA612D">
        <w:rPr>
          <w:rStyle w:val="a5"/>
          <w:rFonts w:asciiTheme="minorEastAsia" w:hAnsiTheme="minorEastAsia" w:cs="Times New Roman"/>
          <w:b w:val="0"/>
          <w:color w:val="000000" w:themeColor="text1"/>
          <w:sz w:val="24"/>
          <w:szCs w:val="24"/>
        </w:rPr>
        <w:t>龄结构</w:t>
      </w:r>
      <w:proofErr w:type="gramEnd"/>
      <w:r w:rsidRPr="00EA612D">
        <w:rPr>
          <w:rStyle w:val="a5"/>
          <w:rFonts w:asciiTheme="minorEastAsia" w:hAnsiTheme="minorEastAsia" w:cs="Times New Roman"/>
          <w:b w:val="0"/>
          <w:color w:val="000000" w:themeColor="text1"/>
          <w:sz w:val="24"/>
          <w:szCs w:val="24"/>
        </w:rPr>
        <w:t>变化分析来看，公司2016</w:t>
      </w:r>
      <w:r w:rsidR="00944776" w:rsidRPr="00EA612D">
        <w:rPr>
          <w:rStyle w:val="a5"/>
          <w:rFonts w:asciiTheme="minorEastAsia" w:hAnsiTheme="minorEastAsia" w:cs="Times New Roman"/>
          <w:b w:val="0"/>
          <w:color w:val="000000" w:themeColor="text1"/>
          <w:sz w:val="24"/>
          <w:szCs w:val="24"/>
        </w:rPr>
        <w:t>年末应收账款总额</w:t>
      </w:r>
      <w:r w:rsidR="00944776" w:rsidRPr="00EA612D">
        <w:rPr>
          <w:rStyle w:val="a5"/>
          <w:rFonts w:asciiTheme="minorEastAsia" w:hAnsiTheme="minorEastAsia" w:cs="Times New Roman" w:hint="eastAsia"/>
          <w:b w:val="0"/>
          <w:color w:val="000000" w:themeColor="text1"/>
          <w:sz w:val="24"/>
          <w:szCs w:val="24"/>
        </w:rPr>
        <w:t>有所</w:t>
      </w:r>
      <w:r w:rsidRPr="00EA612D">
        <w:rPr>
          <w:rStyle w:val="a5"/>
          <w:rFonts w:asciiTheme="minorEastAsia" w:hAnsiTheme="minorEastAsia" w:cs="Times New Roman"/>
          <w:b w:val="0"/>
          <w:color w:val="000000" w:themeColor="text1"/>
          <w:sz w:val="24"/>
          <w:szCs w:val="24"/>
        </w:rPr>
        <w:t>降低，但账龄</w:t>
      </w:r>
      <w:r w:rsidR="000A1900" w:rsidRPr="00EA612D">
        <w:rPr>
          <w:rStyle w:val="a5"/>
          <w:rFonts w:asciiTheme="minorEastAsia" w:hAnsiTheme="minorEastAsia" w:cs="Times New Roman" w:hint="eastAsia"/>
          <w:b w:val="0"/>
          <w:color w:val="000000" w:themeColor="text1"/>
          <w:sz w:val="24"/>
          <w:szCs w:val="24"/>
        </w:rPr>
        <w:t>在3年以上</w:t>
      </w:r>
      <w:r w:rsidRPr="00EA612D">
        <w:rPr>
          <w:rStyle w:val="a5"/>
          <w:rFonts w:asciiTheme="minorEastAsia" w:hAnsiTheme="minorEastAsia" w:cs="Times New Roman"/>
          <w:b w:val="0"/>
          <w:color w:val="000000" w:themeColor="text1"/>
          <w:sz w:val="24"/>
          <w:szCs w:val="24"/>
        </w:rPr>
        <w:t>的应收账款</w:t>
      </w:r>
      <w:r w:rsidR="000A1900" w:rsidRPr="00EA612D">
        <w:rPr>
          <w:rStyle w:val="a5"/>
          <w:rFonts w:asciiTheme="minorEastAsia" w:hAnsiTheme="minorEastAsia" w:cs="Times New Roman" w:hint="eastAsia"/>
          <w:b w:val="0"/>
          <w:color w:val="000000" w:themeColor="text1"/>
          <w:sz w:val="24"/>
          <w:szCs w:val="24"/>
        </w:rPr>
        <w:t>有较大增长</w:t>
      </w:r>
      <w:r w:rsidRPr="00EA612D">
        <w:rPr>
          <w:rStyle w:val="a5"/>
          <w:rFonts w:asciiTheme="minorEastAsia" w:hAnsiTheme="minorEastAsia" w:cs="Times New Roman"/>
          <w:b w:val="0"/>
          <w:color w:val="000000" w:themeColor="text1"/>
          <w:sz w:val="24"/>
          <w:szCs w:val="24"/>
        </w:rPr>
        <w:t>，导致公司总体坏账风险加大。</w:t>
      </w:r>
    </w:p>
    <w:p w:rsidR="00A35D1A" w:rsidRPr="00EA612D" w:rsidRDefault="00A35D1A" w:rsidP="00F663C7">
      <w:pPr>
        <w:spacing w:beforeLines="50" w:before="156" w:afterLines="50" w:after="156" w:line="360" w:lineRule="auto"/>
        <w:ind w:leftChars="50" w:left="105" w:rightChars="50" w:right="105" w:firstLineChars="200" w:firstLine="480"/>
        <w:rPr>
          <w:rStyle w:val="a5"/>
          <w:rFonts w:asciiTheme="minorEastAsia" w:hAnsiTheme="minorEastAsia" w:cs="Times New Roman"/>
          <w:b w:val="0"/>
          <w:color w:val="000000" w:themeColor="text1"/>
          <w:sz w:val="24"/>
          <w:szCs w:val="24"/>
        </w:rPr>
      </w:pPr>
      <w:r w:rsidRPr="00EA612D">
        <w:rPr>
          <w:rStyle w:val="a5"/>
          <w:rFonts w:asciiTheme="minorEastAsia" w:hAnsiTheme="minorEastAsia" w:cs="Times New Roman"/>
          <w:b w:val="0"/>
          <w:color w:val="000000" w:themeColor="text1"/>
          <w:sz w:val="24"/>
          <w:szCs w:val="24"/>
        </w:rPr>
        <w:t>2016年度公司加大应收账款催收力度</w:t>
      </w:r>
      <w:r w:rsidR="00961EF2" w:rsidRPr="00EA612D">
        <w:rPr>
          <w:rStyle w:val="a5"/>
          <w:rFonts w:asciiTheme="minorEastAsia" w:hAnsiTheme="minorEastAsia" w:cs="Times New Roman"/>
          <w:b w:val="0"/>
          <w:color w:val="000000" w:themeColor="text1"/>
          <w:sz w:val="24"/>
          <w:szCs w:val="24"/>
        </w:rPr>
        <w:t>，</w:t>
      </w:r>
      <w:r w:rsidRPr="00EA612D">
        <w:rPr>
          <w:rStyle w:val="a5"/>
          <w:rFonts w:asciiTheme="minorEastAsia" w:hAnsiTheme="minorEastAsia" w:cs="Times New Roman"/>
          <w:b w:val="0"/>
          <w:color w:val="000000" w:themeColor="text1"/>
          <w:sz w:val="24"/>
          <w:szCs w:val="24"/>
        </w:rPr>
        <w:t>收回2015年末</w:t>
      </w:r>
      <w:r w:rsidR="00610958" w:rsidRPr="00EA612D">
        <w:rPr>
          <w:rStyle w:val="a5"/>
          <w:rFonts w:asciiTheme="minorEastAsia" w:hAnsiTheme="minorEastAsia" w:cs="Times New Roman"/>
          <w:b w:val="0"/>
          <w:color w:val="000000" w:themeColor="text1"/>
          <w:sz w:val="24"/>
          <w:szCs w:val="24"/>
        </w:rPr>
        <w:t>账龄在</w:t>
      </w:r>
      <w:r w:rsidRPr="00EA612D">
        <w:rPr>
          <w:rStyle w:val="a5"/>
          <w:rFonts w:asciiTheme="minorEastAsia" w:hAnsiTheme="minorEastAsia" w:cs="Times New Roman"/>
          <w:b w:val="0"/>
          <w:color w:val="000000" w:themeColor="text1"/>
          <w:sz w:val="24"/>
          <w:szCs w:val="24"/>
        </w:rPr>
        <w:t>1年以上</w:t>
      </w:r>
      <w:r w:rsidR="00610958" w:rsidRPr="00EA612D">
        <w:rPr>
          <w:rStyle w:val="a5"/>
          <w:rFonts w:asciiTheme="minorEastAsia" w:hAnsiTheme="minorEastAsia" w:cs="Times New Roman"/>
          <w:b w:val="0"/>
          <w:color w:val="000000" w:themeColor="text1"/>
          <w:sz w:val="24"/>
          <w:szCs w:val="24"/>
        </w:rPr>
        <w:t>的</w:t>
      </w:r>
      <w:r w:rsidRPr="00EA612D">
        <w:rPr>
          <w:rStyle w:val="a5"/>
          <w:rFonts w:asciiTheme="minorEastAsia" w:hAnsiTheme="minorEastAsia" w:cs="Times New Roman"/>
          <w:b w:val="0"/>
          <w:color w:val="000000" w:themeColor="text1"/>
          <w:sz w:val="24"/>
          <w:szCs w:val="24"/>
        </w:rPr>
        <w:t>应收账款</w:t>
      </w:r>
      <w:r w:rsidR="00610958" w:rsidRPr="00EA612D">
        <w:rPr>
          <w:rStyle w:val="a5"/>
          <w:rFonts w:asciiTheme="minorEastAsia" w:hAnsiTheme="minorEastAsia" w:cs="Times New Roman"/>
          <w:b w:val="0"/>
          <w:color w:val="000000" w:themeColor="text1"/>
          <w:sz w:val="24"/>
          <w:szCs w:val="24"/>
        </w:rPr>
        <w:t>56,075.49万</w:t>
      </w:r>
      <w:r w:rsidRPr="00EA612D">
        <w:rPr>
          <w:rStyle w:val="a5"/>
          <w:rFonts w:asciiTheme="minorEastAsia" w:hAnsiTheme="minorEastAsia" w:cs="Times New Roman"/>
          <w:b w:val="0"/>
          <w:color w:val="000000" w:themeColor="text1"/>
          <w:sz w:val="24"/>
          <w:szCs w:val="24"/>
        </w:rPr>
        <w:t>元，且由于公司本期收入规模下降，导致2016年末新增应收</w:t>
      </w:r>
      <w:proofErr w:type="gramStart"/>
      <w:r w:rsidRPr="00EA612D">
        <w:rPr>
          <w:rStyle w:val="a5"/>
          <w:rFonts w:asciiTheme="minorEastAsia" w:hAnsiTheme="minorEastAsia" w:cs="Times New Roman"/>
          <w:b w:val="0"/>
          <w:color w:val="000000" w:themeColor="text1"/>
          <w:sz w:val="24"/>
          <w:szCs w:val="24"/>
        </w:rPr>
        <w:t>账款较</w:t>
      </w:r>
      <w:proofErr w:type="gramEnd"/>
      <w:r w:rsidRPr="00EA612D">
        <w:rPr>
          <w:rStyle w:val="a5"/>
          <w:rFonts w:asciiTheme="minorEastAsia" w:hAnsiTheme="minorEastAsia" w:cs="Times New Roman"/>
          <w:b w:val="0"/>
          <w:color w:val="000000" w:themeColor="text1"/>
          <w:sz w:val="24"/>
          <w:szCs w:val="24"/>
        </w:rPr>
        <w:t>2015年末下降</w:t>
      </w:r>
      <w:r w:rsidR="00E95E1E" w:rsidRPr="00EA612D">
        <w:rPr>
          <w:rStyle w:val="a5"/>
          <w:rFonts w:asciiTheme="minorEastAsia" w:hAnsiTheme="minorEastAsia" w:cs="Times New Roman"/>
          <w:b w:val="0"/>
          <w:color w:val="000000" w:themeColor="text1"/>
          <w:sz w:val="24"/>
          <w:szCs w:val="24"/>
        </w:rPr>
        <w:t>34,233.25万</w:t>
      </w:r>
      <w:r w:rsidRPr="00EA612D">
        <w:rPr>
          <w:rStyle w:val="a5"/>
          <w:rFonts w:asciiTheme="minorEastAsia" w:hAnsiTheme="minorEastAsia" w:cs="Times New Roman"/>
          <w:b w:val="0"/>
          <w:color w:val="000000" w:themeColor="text1"/>
          <w:sz w:val="24"/>
          <w:szCs w:val="24"/>
        </w:rPr>
        <w:t>元。</w:t>
      </w:r>
    </w:p>
    <w:p w:rsidR="00A35D1A" w:rsidRPr="00EA612D" w:rsidRDefault="00A35D1A" w:rsidP="00F663C7">
      <w:pPr>
        <w:spacing w:beforeLines="50" w:before="156" w:afterLines="50" w:after="156" w:line="360" w:lineRule="auto"/>
        <w:ind w:leftChars="50" w:left="105" w:rightChars="50" w:right="105" w:firstLineChars="200" w:firstLine="480"/>
        <w:rPr>
          <w:rStyle w:val="a5"/>
          <w:rFonts w:asciiTheme="minorEastAsia" w:hAnsiTheme="minorEastAsia" w:cs="Times New Roman"/>
          <w:b w:val="0"/>
          <w:color w:val="000000" w:themeColor="text1"/>
          <w:sz w:val="24"/>
          <w:szCs w:val="24"/>
        </w:rPr>
      </w:pPr>
      <w:r w:rsidRPr="00EA612D">
        <w:rPr>
          <w:rStyle w:val="a5"/>
          <w:rFonts w:asciiTheme="minorEastAsia" w:hAnsiTheme="minorEastAsia" w:cs="Times New Roman"/>
          <w:b w:val="0"/>
          <w:color w:val="000000" w:themeColor="text1"/>
          <w:sz w:val="24"/>
          <w:szCs w:val="24"/>
        </w:rPr>
        <w:t>2016年度，受宏观经济下行压力影响，部分客户出现资金紧张，</w:t>
      </w:r>
      <w:r w:rsidR="00C6578C" w:rsidRPr="00EA612D">
        <w:rPr>
          <w:rStyle w:val="a5"/>
          <w:rFonts w:asciiTheme="minorEastAsia" w:hAnsiTheme="minorEastAsia" w:cs="Times New Roman"/>
          <w:b w:val="0"/>
          <w:color w:val="000000" w:themeColor="text1"/>
          <w:sz w:val="24"/>
          <w:szCs w:val="24"/>
        </w:rPr>
        <w:t>公司</w:t>
      </w:r>
      <w:r w:rsidR="00610958" w:rsidRPr="00EA612D">
        <w:rPr>
          <w:rStyle w:val="a5"/>
          <w:rFonts w:asciiTheme="minorEastAsia" w:hAnsiTheme="minorEastAsia" w:cs="Times New Roman"/>
          <w:b w:val="0"/>
          <w:color w:val="000000" w:themeColor="text1"/>
          <w:sz w:val="24"/>
          <w:szCs w:val="24"/>
        </w:rPr>
        <w:t>根据最新</w:t>
      </w:r>
      <w:r w:rsidRPr="00EA612D">
        <w:rPr>
          <w:rStyle w:val="a5"/>
          <w:rFonts w:asciiTheme="minorEastAsia" w:hAnsiTheme="minorEastAsia" w:cs="Times New Roman"/>
          <w:b w:val="0"/>
          <w:color w:val="000000" w:themeColor="text1"/>
          <w:sz w:val="24"/>
          <w:szCs w:val="24"/>
        </w:rPr>
        <w:t>诉讼进展</w:t>
      </w:r>
      <w:r w:rsidR="00C6578C" w:rsidRPr="00EA612D">
        <w:rPr>
          <w:rStyle w:val="a5"/>
          <w:rFonts w:asciiTheme="minorEastAsia" w:hAnsiTheme="minorEastAsia" w:cs="Times New Roman"/>
          <w:b w:val="0"/>
          <w:color w:val="000000" w:themeColor="text1"/>
          <w:sz w:val="24"/>
          <w:szCs w:val="24"/>
        </w:rPr>
        <w:t>或最新</w:t>
      </w:r>
      <w:r w:rsidRPr="00EA612D">
        <w:rPr>
          <w:rStyle w:val="a5"/>
          <w:rFonts w:asciiTheme="minorEastAsia" w:hAnsiTheme="minorEastAsia" w:cs="Times New Roman"/>
          <w:b w:val="0"/>
          <w:color w:val="000000" w:themeColor="text1"/>
          <w:sz w:val="24"/>
          <w:szCs w:val="24"/>
        </w:rPr>
        <w:t>预计可回收金额的证据，按照公司会计政策</w:t>
      </w:r>
      <w:r w:rsidR="00C6578C" w:rsidRPr="00EA612D">
        <w:rPr>
          <w:rStyle w:val="a5"/>
          <w:rFonts w:asciiTheme="minorEastAsia" w:hAnsiTheme="minorEastAsia" w:cs="Times New Roman"/>
          <w:b w:val="0"/>
          <w:color w:val="000000" w:themeColor="text1"/>
          <w:sz w:val="24"/>
          <w:szCs w:val="24"/>
        </w:rPr>
        <w:t>将部分应收账款</w:t>
      </w:r>
      <w:r w:rsidR="00610958" w:rsidRPr="00EA612D">
        <w:rPr>
          <w:rStyle w:val="a5"/>
          <w:rFonts w:asciiTheme="minorEastAsia" w:hAnsiTheme="minorEastAsia" w:cs="Times New Roman"/>
          <w:b w:val="0"/>
          <w:color w:val="000000" w:themeColor="text1"/>
          <w:sz w:val="24"/>
          <w:szCs w:val="24"/>
        </w:rPr>
        <w:t>划分</w:t>
      </w:r>
      <w:r w:rsidRPr="00EA612D">
        <w:rPr>
          <w:rStyle w:val="a5"/>
          <w:rFonts w:asciiTheme="minorEastAsia" w:hAnsiTheme="minorEastAsia" w:cs="Times New Roman"/>
          <w:b w:val="0"/>
          <w:color w:val="000000" w:themeColor="text1"/>
          <w:sz w:val="24"/>
          <w:szCs w:val="24"/>
        </w:rPr>
        <w:t>为单项金额重大或</w:t>
      </w:r>
      <w:r w:rsidR="000A1900" w:rsidRPr="00EA612D">
        <w:rPr>
          <w:rStyle w:val="a5"/>
          <w:rFonts w:asciiTheme="minorEastAsia" w:hAnsiTheme="minorEastAsia" w:cs="Times New Roman" w:hint="eastAsia"/>
          <w:b w:val="0"/>
          <w:color w:val="000000" w:themeColor="text1"/>
          <w:sz w:val="24"/>
          <w:szCs w:val="24"/>
        </w:rPr>
        <w:t>单项金额</w:t>
      </w:r>
      <w:proofErr w:type="gramStart"/>
      <w:r w:rsidR="000A1900" w:rsidRPr="00EA612D">
        <w:rPr>
          <w:rStyle w:val="a5"/>
          <w:rFonts w:asciiTheme="minorEastAsia" w:hAnsiTheme="minorEastAsia" w:cs="Times New Roman" w:hint="eastAsia"/>
          <w:b w:val="0"/>
          <w:color w:val="000000" w:themeColor="text1"/>
          <w:sz w:val="24"/>
          <w:szCs w:val="24"/>
        </w:rPr>
        <w:t>不</w:t>
      </w:r>
      <w:r w:rsidRPr="00EA612D">
        <w:rPr>
          <w:rStyle w:val="a5"/>
          <w:rFonts w:asciiTheme="minorEastAsia" w:hAnsiTheme="minorEastAsia" w:cs="Times New Roman"/>
          <w:b w:val="0"/>
          <w:color w:val="000000" w:themeColor="text1"/>
          <w:sz w:val="24"/>
          <w:szCs w:val="24"/>
        </w:rPr>
        <w:t>重大</w:t>
      </w:r>
      <w:proofErr w:type="gramEnd"/>
      <w:r w:rsidR="000A1900" w:rsidRPr="00EA612D">
        <w:rPr>
          <w:rStyle w:val="a5"/>
          <w:rFonts w:asciiTheme="minorEastAsia" w:hAnsiTheme="minorEastAsia" w:cs="Times New Roman" w:hint="eastAsia"/>
          <w:b w:val="0"/>
          <w:color w:val="000000" w:themeColor="text1"/>
          <w:sz w:val="24"/>
          <w:szCs w:val="24"/>
        </w:rPr>
        <w:t>的</w:t>
      </w:r>
      <w:r w:rsidRPr="00EA612D">
        <w:rPr>
          <w:rStyle w:val="a5"/>
          <w:rFonts w:asciiTheme="minorEastAsia" w:hAnsiTheme="minorEastAsia" w:cs="Times New Roman"/>
          <w:b w:val="0"/>
          <w:color w:val="000000" w:themeColor="text1"/>
          <w:sz w:val="24"/>
          <w:szCs w:val="24"/>
        </w:rPr>
        <w:t>应收账款</w:t>
      </w:r>
      <w:r w:rsidR="00610958" w:rsidRPr="00EA612D">
        <w:rPr>
          <w:rStyle w:val="a5"/>
          <w:rFonts w:asciiTheme="minorEastAsia" w:hAnsiTheme="minorEastAsia" w:cs="Times New Roman"/>
          <w:b w:val="0"/>
          <w:color w:val="000000" w:themeColor="text1"/>
          <w:sz w:val="24"/>
          <w:szCs w:val="24"/>
        </w:rPr>
        <w:t>，</w:t>
      </w:r>
      <w:r w:rsidR="00961EF2" w:rsidRPr="00EA612D">
        <w:rPr>
          <w:rStyle w:val="a5"/>
          <w:rFonts w:asciiTheme="minorEastAsia" w:hAnsiTheme="minorEastAsia" w:cs="Times New Roman"/>
          <w:b w:val="0"/>
          <w:color w:val="000000" w:themeColor="text1"/>
          <w:sz w:val="24"/>
          <w:szCs w:val="24"/>
        </w:rPr>
        <w:t>并</w:t>
      </w:r>
      <w:r w:rsidRPr="00EA612D">
        <w:rPr>
          <w:rStyle w:val="a5"/>
          <w:rFonts w:asciiTheme="minorEastAsia" w:hAnsiTheme="minorEastAsia" w:cs="Times New Roman"/>
          <w:b w:val="0"/>
          <w:color w:val="000000" w:themeColor="text1"/>
          <w:sz w:val="24"/>
          <w:szCs w:val="24"/>
        </w:rPr>
        <w:t>单独计提坏账准备。</w:t>
      </w:r>
    </w:p>
    <w:p w:rsidR="00A35D1A" w:rsidRPr="00EA612D" w:rsidRDefault="00A35D1A" w:rsidP="00F663C7">
      <w:pPr>
        <w:spacing w:beforeLines="50" w:before="156" w:afterLines="50" w:after="156" w:line="360" w:lineRule="auto"/>
        <w:ind w:leftChars="50" w:left="105" w:rightChars="50" w:right="105" w:firstLineChars="200" w:firstLine="480"/>
        <w:rPr>
          <w:rStyle w:val="a5"/>
          <w:rFonts w:asciiTheme="minorEastAsia" w:hAnsiTheme="minorEastAsia" w:cs="Times New Roman"/>
          <w:b w:val="0"/>
          <w:color w:val="000000" w:themeColor="text1"/>
          <w:sz w:val="24"/>
          <w:szCs w:val="24"/>
        </w:rPr>
      </w:pPr>
      <w:r w:rsidRPr="00EA612D">
        <w:rPr>
          <w:rStyle w:val="a5"/>
          <w:rFonts w:asciiTheme="minorEastAsia" w:hAnsiTheme="minorEastAsia" w:cs="Times New Roman"/>
          <w:b w:val="0"/>
          <w:color w:val="000000" w:themeColor="text1"/>
          <w:sz w:val="24"/>
          <w:szCs w:val="24"/>
        </w:rPr>
        <w:t>综</w:t>
      </w:r>
      <w:r w:rsidR="000A1900" w:rsidRPr="00EA612D">
        <w:rPr>
          <w:rStyle w:val="a5"/>
          <w:rFonts w:asciiTheme="minorEastAsia" w:hAnsiTheme="minorEastAsia" w:cs="Times New Roman" w:hint="eastAsia"/>
          <w:b w:val="0"/>
          <w:color w:val="000000" w:themeColor="text1"/>
          <w:sz w:val="24"/>
          <w:szCs w:val="24"/>
        </w:rPr>
        <w:t>上</w:t>
      </w:r>
      <w:r w:rsidRPr="00EA612D">
        <w:rPr>
          <w:rStyle w:val="a5"/>
          <w:rFonts w:asciiTheme="minorEastAsia" w:hAnsiTheme="minorEastAsia" w:cs="Times New Roman"/>
          <w:b w:val="0"/>
          <w:color w:val="000000" w:themeColor="text1"/>
          <w:sz w:val="24"/>
          <w:szCs w:val="24"/>
        </w:rPr>
        <w:t>所述</w:t>
      </w:r>
      <w:r w:rsidR="000A1900" w:rsidRPr="00EA612D">
        <w:rPr>
          <w:rStyle w:val="a5"/>
          <w:rFonts w:asciiTheme="minorEastAsia" w:hAnsiTheme="minorEastAsia" w:cs="Times New Roman" w:hint="eastAsia"/>
          <w:b w:val="0"/>
          <w:color w:val="000000" w:themeColor="text1"/>
          <w:sz w:val="24"/>
          <w:szCs w:val="24"/>
        </w:rPr>
        <w:t>，</w:t>
      </w:r>
      <w:r w:rsidR="00F44428" w:rsidRPr="00EA612D">
        <w:rPr>
          <w:rStyle w:val="a5"/>
          <w:rFonts w:asciiTheme="minorEastAsia" w:hAnsiTheme="minorEastAsia" w:cs="Times New Roman"/>
          <w:b w:val="0"/>
          <w:color w:val="000000" w:themeColor="text1"/>
          <w:sz w:val="24"/>
          <w:szCs w:val="24"/>
        </w:rPr>
        <w:t>公司本期计提应收账款坏账准备一方面考虑公司应收账款的账龄结构</w:t>
      </w:r>
      <w:r w:rsidR="00F44428" w:rsidRPr="00EA612D">
        <w:rPr>
          <w:rStyle w:val="a5"/>
          <w:rFonts w:asciiTheme="minorEastAsia" w:hAnsiTheme="minorEastAsia" w:cs="Times New Roman" w:hint="eastAsia"/>
          <w:b w:val="0"/>
          <w:color w:val="000000" w:themeColor="text1"/>
          <w:sz w:val="24"/>
          <w:szCs w:val="24"/>
        </w:rPr>
        <w:t>，按信用风险特征组合计提坏账准备；</w:t>
      </w:r>
      <w:r w:rsidR="00F44428" w:rsidRPr="00EA612D">
        <w:rPr>
          <w:rStyle w:val="a5"/>
          <w:rFonts w:asciiTheme="minorEastAsia" w:hAnsiTheme="minorEastAsia" w:cs="Times New Roman"/>
          <w:b w:val="0"/>
          <w:color w:val="000000" w:themeColor="text1"/>
          <w:sz w:val="24"/>
          <w:szCs w:val="24"/>
        </w:rPr>
        <w:t>另一方面对有客观证据</w:t>
      </w:r>
      <w:r w:rsidRPr="00EA612D">
        <w:rPr>
          <w:rStyle w:val="a5"/>
          <w:rFonts w:asciiTheme="minorEastAsia" w:hAnsiTheme="minorEastAsia" w:cs="Times New Roman"/>
          <w:b w:val="0"/>
          <w:color w:val="000000" w:themeColor="text1"/>
          <w:sz w:val="24"/>
          <w:szCs w:val="24"/>
        </w:rPr>
        <w:t>表明可能发生了减值的应收账款进行单项认定</w:t>
      </w:r>
      <w:r w:rsidR="00806152" w:rsidRPr="00EA612D">
        <w:rPr>
          <w:rStyle w:val="a5"/>
          <w:rFonts w:asciiTheme="minorEastAsia" w:hAnsiTheme="minorEastAsia" w:cs="Times New Roman" w:hint="eastAsia"/>
          <w:b w:val="0"/>
          <w:color w:val="000000" w:themeColor="text1"/>
          <w:sz w:val="24"/>
          <w:szCs w:val="24"/>
        </w:rPr>
        <w:t>，单独计提</w:t>
      </w:r>
      <w:r w:rsidRPr="00EA612D">
        <w:rPr>
          <w:rStyle w:val="a5"/>
          <w:rFonts w:asciiTheme="minorEastAsia" w:hAnsiTheme="minorEastAsia" w:cs="Times New Roman"/>
          <w:b w:val="0"/>
          <w:color w:val="000000" w:themeColor="text1"/>
          <w:sz w:val="24"/>
          <w:szCs w:val="24"/>
        </w:rPr>
        <w:t>坏账准备。</w:t>
      </w:r>
    </w:p>
    <w:p w:rsidR="00A35D1A" w:rsidRPr="00EA612D" w:rsidRDefault="00595A82" w:rsidP="00F663C7">
      <w:pPr>
        <w:spacing w:beforeLines="50" w:before="156" w:afterLines="50" w:after="156" w:line="360" w:lineRule="auto"/>
        <w:ind w:leftChars="50" w:left="105" w:rightChars="50" w:right="105" w:firstLineChars="200" w:firstLine="480"/>
        <w:rPr>
          <w:rStyle w:val="a5"/>
          <w:rFonts w:asciiTheme="minorEastAsia" w:hAnsiTheme="minorEastAsia" w:cs="Times New Roman"/>
          <w:b w:val="0"/>
          <w:color w:val="000000" w:themeColor="text1"/>
          <w:sz w:val="24"/>
          <w:szCs w:val="24"/>
        </w:rPr>
      </w:pPr>
      <w:r w:rsidRPr="00EA612D">
        <w:rPr>
          <w:rStyle w:val="a5"/>
          <w:rFonts w:asciiTheme="minorEastAsia" w:hAnsiTheme="minorEastAsia" w:cs="Times New Roman" w:hint="eastAsia"/>
          <w:b w:val="0"/>
          <w:color w:val="000000" w:themeColor="text1"/>
          <w:sz w:val="24"/>
          <w:szCs w:val="24"/>
        </w:rPr>
        <w:t>（2）</w:t>
      </w:r>
      <w:r w:rsidR="00A35D1A" w:rsidRPr="00EA612D">
        <w:rPr>
          <w:rStyle w:val="a5"/>
          <w:rFonts w:asciiTheme="minorEastAsia" w:hAnsiTheme="minorEastAsia" w:cs="Times New Roman"/>
          <w:b w:val="0"/>
          <w:color w:val="000000" w:themeColor="text1"/>
          <w:sz w:val="24"/>
          <w:szCs w:val="24"/>
        </w:rPr>
        <w:t>2016 年应收账款坏账准备计提比例大幅高于以往年度的原因、依据及合理性</w:t>
      </w:r>
    </w:p>
    <w:p w:rsidR="00A35D1A" w:rsidRPr="00EA612D" w:rsidRDefault="00A35D1A" w:rsidP="00F663C7">
      <w:pPr>
        <w:spacing w:beforeLines="50" w:before="156" w:afterLines="50" w:after="156" w:line="360" w:lineRule="auto"/>
        <w:ind w:leftChars="50" w:left="105" w:rightChars="50" w:right="105" w:firstLineChars="200" w:firstLine="480"/>
        <w:rPr>
          <w:rStyle w:val="a5"/>
          <w:rFonts w:asciiTheme="minorEastAsia" w:hAnsiTheme="minorEastAsia" w:cs="Times New Roman"/>
          <w:b w:val="0"/>
          <w:color w:val="000000" w:themeColor="text1"/>
          <w:sz w:val="24"/>
          <w:szCs w:val="24"/>
        </w:rPr>
      </w:pPr>
      <w:r w:rsidRPr="00EA612D">
        <w:rPr>
          <w:rStyle w:val="a5"/>
          <w:rFonts w:asciiTheme="minorEastAsia" w:hAnsiTheme="minorEastAsia" w:cs="Times New Roman"/>
          <w:b w:val="0"/>
          <w:color w:val="000000" w:themeColor="text1"/>
          <w:sz w:val="24"/>
          <w:szCs w:val="24"/>
        </w:rPr>
        <w:lastRenderedPageBreak/>
        <w:t>2016年公司应收账款坏账准备计提比例大幅高于以往年度的原因及依据主要如下：</w:t>
      </w:r>
    </w:p>
    <w:p w:rsidR="00A35D1A" w:rsidRPr="00EA612D" w:rsidRDefault="002415B6" w:rsidP="00F663C7">
      <w:pPr>
        <w:spacing w:beforeLines="50" w:before="156" w:afterLines="50" w:after="156" w:line="360" w:lineRule="auto"/>
        <w:ind w:leftChars="50" w:left="105" w:rightChars="50" w:right="105" w:firstLineChars="200" w:firstLine="480"/>
        <w:rPr>
          <w:rStyle w:val="a5"/>
          <w:rFonts w:asciiTheme="minorEastAsia" w:hAnsiTheme="minorEastAsia" w:cs="Times New Roman"/>
          <w:b w:val="0"/>
          <w:color w:val="000000" w:themeColor="text1"/>
          <w:sz w:val="24"/>
          <w:szCs w:val="24"/>
        </w:rPr>
      </w:pPr>
      <w:r w:rsidRPr="00EA612D">
        <w:rPr>
          <w:rStyle w:val="a5"/>
          <w:rFonts w:asciiTheme="minorEastAsia" w:hAnsiTheme="minorEastAsia" w:cs="宋体" w:hint="eastAsia"/>
          <w:b w:val="0"/>
          <w:color w:val="000000" w:themeColor="text1"/>
          <w:sz w:val="24"/>
          <w:szCs w:val="24"/>
        </w:rPr>
        <w:t>①</w:t>
      </w:r>
      <w:proofErr w:type="gramStart"/>
      <w:r w:rsidR="00A35D1A" w:rsidRPr="00EA612D">
        <w:rPr>
          <w:rStyle w:val="a5"/>
          <w:rFonts w:asciiTheme="minorEastAsia" w:hAnsiTheme="minorEastAsia" w:cs="Times New Roman"/>
          <w:b w:val="0"/>
          <w:color w:val="000000" w:themeColor="text1"/>
          <w:sz w:val="24"/>
          <w:szCs w:val="24"/>
        </w:rPr>
        <w:t>受账龄</w:t>
      </w:r>
      <w:proofErr w:type="gramEnd"/>
      <w:r w:rsidR="00A35D1A" w:rsidRPr="00EA612D">
        <w:rPr>
          <w:rStyle w:val="a5"/>
          <w:rFonts w:asciiTheme="minorEastAsia" w:hAnsiTheme="minorEastAsia" w:cs="Times New Roman"/>
          <w:b w:val="0"/>
          <w:color w:val="000000" w:themeColor="text1"/>
          <w:sz w:val="24"/>
          <w:szCs w:val="24"/>
        </w:rPr>
        <w:t>滚动影响，公司按照按信用风险特征组合计提坏账准备增加</w:t>
      </w:r>
      <w:r w:rsidR="00610958" w:rsidRPr="00EA612D">
        <w:rPr>
          <w:rStyle w:val="a5"/>
          <w:rFonts w:asciiTheme="minorEastAsia" w:hAnsiTheme="minorEastAsia" w:cs="Times New Roman"/>
          <w:b w:val="0"/>
          <w:color w:val="000000" w:themeColor="text1"/>
          <w:sz w:val="24"/>
          <w:szCs w:val="24"/>
        </w:rPr>
        <w:t>3,166.53万</w:t>
      </w:r>
      <w:r w:rsidR="00A35D1A" w:rsidRPr="00EA612D">
        <w:rPr>
          <w:rStyle w:val="a5"/>
          <w:rFonts w:asciiTheme="minorEastAsia" w:hAnsiTheme="minorEastAsia" w:cs="Times New Roman"/>
          <w:b w:val="0"/>
          <w:color w:val="000000" w:themeColor="text1"/>
          <w:sz w:val="24"/>
          <w:szCs w:val="24"/>
        </w:rPr>
        <w:t>元。其具体情况如下</w:t>
      </w:r>
    </w:p>
    <w:p w:rsidR="00A35D1A" w:rsidRPr="00EA612D" w:rsidRDefault="00A35D1A" w:rsidP="00A35D1A">
      <w:pPr>
        <w:jc w:val="right"/>
        <w:rPr>
          <w:rStyle w:val="a5"/>
          <w:rFonts w:ascii="Times New Roman" w:hAnsi="Times New Roman" w:cs="Times New Roman"/>
          <w:b w:val="0"/>
          <w:color w:val="000000" w:themeColor="text1"/>
          <w:szCs w:val="21"/>
        </w:rPr>
      </w:pPr>
      <w:r w:rsidRPr="00EA612D">
        <w:rPr>
          <w:rStyle w:val="a5"/>
          <w:rFonts w:ascii="Times New Roman" w:hAnsi="Times New Roman" w:cs="Times New Roman" w:hint="eastAsia"/>
          <w:b w:val="0"/>
          <w:color w:val="000000" w:themeColor="text1"/>
          <w:szCs w:val="21"/>
        </w:rPr>
        <w:t>单位：人民币万元</w:t>
      </w:r>
    </w:p>
    <w:tbl>
      <w:tblPr>
        <w:tblW w:w="5000" w:type="pct"/>
        <w:tblBorders>
          <w:top w:val="single" w:sz="12" w:space="0" w:color="auto"/>
          <w:bottom w:val="single" w:sz="12" w:space="0" w:color="auto"/>
          <w:insideH w:val="dotted" w:sz="4" w:space="0" w:color="auto"/>
          <w:insideV w:val="dotted" w:sz="4" w:space="0" w:color="auto"/>
        </w:tblBorders>
        <w:tblLook w:val="04A0" w:firstRow="1" w:lastRow="0" w:firstColumn="1" w:lastColumn="0" w:noHBand="0" w:noVBand="1"/>
      </w:tblPr>
      <w:tblGrid>
        <w:gridCol w:w="2250"/>
        <w:gridCol w:w="1174"/>
        <w:gridCol w:w="1174"/>
        <w:gridCol w:w="781"/>
        <w:gridCol w:w="1174"/>
        <w:gridCol w:w="1202"/>
        <w:gridCol w:w="767"/>
      </w:tblGrid>
      <w:tr w:rsidR="00835FFC" w:rsidRPr="00EA612D" w:rsidTr="00A35D1A">
        <w:trPr>
          <w:trHeight w:val="270"/>
        </w:trPr>
        <w:tc>
          <w:tcPr>
            <w:tcW w:w="1320" w:type="pct"/>
            <w:vMerge w:val="restart"/>
            <w:shd w:val="clear" w:color="auto" w:fill="auto"/>
            <w:vAlign w:val="center"/>
            <w:hideMark/>
          </w:tcPr>
          <w:p w:rsidR="00A35D1A" w:rsidRPr="00EA612D" w:rsidRDefault="00A35D1A" w:rsidP="00A35D1A">
            <w:pPr>
              <w:snapToGrid w:val="0"/>
              <w:spacing w:line="200" w:lineRule="atLeast"/>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账龄</w:t>
            </w:r>
          </w:p>
        </w:tc>
        <w:tc>
          <w:tcPr>
            <w:tcW w:w="1836" w:type="pct"/>
            <w:gridSpan w:val="3"/>
            <w:shd w:val="clear" w:color="auto" w:fill="auto"/>
            <w:vAlign w:val="center"/>
            <w:hideMark/>
          </w:tcPr>
          <w:p w:rsidR="00A35D1A" w:rsidRPr="00EA612D" w:rsidRDefault="00A35D1A" w:rsidP="00A35D1A">
            <w:pPr>
              <w:snapToGrid w:val="0"/>
              <w:spacing w:line="200" w:lineRule="atLeast"/>
              <w:jc w:val="center"/>
              <w:rPr>
                <w:rFonts w:ascii="Times New Roman" w:hAnsi="Times New Roman" w:cs="Times New Roman"/>
                <w:color w:val="000000" w:themeColor="text1"/>
                <w:sz w:val="16"/>
                <w:szCs w:val="16"/>
              </w:rPr>
            </w:pPr>
            <w:r w:rsidRPr="00EA612D">
              <w:rPr>
                <w:rFonts w:ascii="Times New Roman" w:eastAsia="宋体" w:hAnsi="Times New Roman" w:cs="Times New Roman"/>
                <w:color w:val="000000" w:themeColor="text1"/>
                <w:sz w:val="14"/>
                <w:szCs w:val="16"/>
              </w:rPr>
              <w:t>期末余额</w:t>
            </w:r>
          </w:p>
        </w:tc>
        <w:tc>
          <w:tcPr>
            <w:tcW w:w="1844" w:type="pct"/>
            <w:gridSpan w:val="3"/>
            <w:shd w:val="clear" w:color="auto" w:fill="auto"/>
            <w:vAlign w:val="center"/>
            <w:hideMark/>
          </w:tcPr>
          <w:p w:rsidR="00A35D1A" w:rsidRPr="00EA612D" w:rsidRDefault="00A35D1A" w:rsidP="00A35D1A">
            <w:pPr>
              <w:snapToGrid w:val="0"/>
              <w:spacing w:line="200" w:lineRule="atLeast"/>
              <w:jc w:val="center"/>
              <w:rPr>
                <w:rFonts w:ascii="Times New Roman" w:hAnsi="Times New Roman" w:cs="Times New Roman"/>
                <w:color w:val="000000" w:themeColor="text1"/>
                <w:sz w:val="16"/>
                <w:szCs w:val="16"/>
              </w:rPr>
            </w:pPr>
            <w:r w:rsidRPr="00EA612D">
              <w:rPr>
                <w:rFonts w:ascii="Times New Roman" w:eastAsia="宋体" w:hAnsi="Times New Roman" w:cs="Times New Roman"/>
                <w:color w:val="000000" w:themeColor="text1"/>
                <w:sz w:val="14"/>
                <w:szCs w:val="16"/>
              </w:rPr>
              <w:t>年初余额</w:t>
            </w:r>
          </w:p>
        </w:tc>
      </w:tr>
      <w:tr w:rsidR="00835FFC" w:rsidRPr="00EA612D" w:rsidTr="00A35D1A">
        <w:trPr>
          <w:trHeight w:val="510"/>
        </w:trPr>
        <w:tc>
          <w:tcPr>
            <w:tcW w:w="1320" w:type="pct"/>
            <w:vMerge/>
            <w:vAlign w:val="center"/>
            <w:hideMark/>
          </w:tcPr>
          <w:p w:rsidR="00A35D1A" w:rsidRPr="00EA612D" w:rsidRDefault="00A35D1A" w:rsidP="00A35D1A">
            <w:pPr>
              <w:snapToGrid w:val="0"/>
              <w:spacing w:line="200" w:lineRule="atLeast"/>
              <w:jc w:val="center"/>
              <w:rPr>
                <w:rFonts w:ascii="Times New Roman" w:hAnsi="Times New Roman" w:cs="Times New Roman"/>
                <w:color w:val="000000" w:themeColor="text1"/>
                <w:sz w:val="16"/>
                <w:szCs w:val="16"/>
              </w:rPr>
            </w:pPr>
          </w:p>
        </w:tc>
        <w:tc>
          <w:tcPr>
            <w:tcW w:w="689" w:type="pct"/>
            <w:shd w:val="clear" w:color="auto" w:fill="auto"/>
            <w:vAlign w:val="center"/>
            <w:hideMark/>
          </w:tcPr>
          <w:p w:rsidR="00A35D1A" w:rsidRPr="00EA612D" w:rsidRDefault="00A35D1A" w:rsidP="00A35D1A">
            <w:pPr>
              <w:snapToGrid w:val="0"/>
              <w:spacing w:line="200" w:lineRule="atLeast"/>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应收账款余额</w:t>
            </w:r>
          </w:p>
        </w:tc>
        <w:tc>
          <w:tcPr>
            <w:tcW w:w="689" w:type="pct"/>
            <w:shd w:val="clear" w:color="auto" w:fill="auto"/>
            <w:vAlign w:val="center"/>
            <w:hideMark/>
          </w:tcPr>
          <w:p w:rsidR="00A35D1A" w:rsidRPr="00EA612D" w:rsidRDefault="00A35D1A" w:rsidP="00A35D1A">
            <w:pPr>
              <w:snapToGrid w:val="0"/>
              <w:spacing w:line="200" w:lineRule="atLeast"/>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坏账准备</w:t>
            </w:r>
          </w:p>
        </w:tc>
        <w:tc>
          <w:tcPr>
            <w:tcW w:w="458" w:type="pct"/>
            <w:shd w:val="clear" w:color="auto" w:fill="auto"/>
            <w:vAlign w:val="center"/>
            <w:hideMark/>
          </w:tcPr>
          <w:p w:rsidR="00A35D1A" w:rsidRPr="00EA612D" w:rsidRDefault="00A35D1A" w:rsidP="00A35D1A">
            <w:pPr>
              <w:snapToGrid w:val="0"/>
              <w:spacing w:line="200" w:lineRule="atLeast"/>
              <w:jc w:val="center"/>
              <w:rPr>
                <w:rFonts w:ascii="Times New Roman"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计提比例（</w:t>
            </w:r>
            <w:r w:rsidRPr="00EA612D">
              <w:rPr>
                <w:rFonts w:ascii="Times New Roman" w:eastAsia="宋体" w:hAnsi="Times New Roman" w:cs="Times New Roman"/>
                <w:color w:val="000000" w:themeColor="text1"/>
                <w:sz w:val="16"/>
                <w:szCs w:val="16"/>
              </w:rPr>
              <w:t>%</w:t>
            </w:r>
            <w:r w:rsidRPr="00EA612D">
              <w:rPr>
                <w:rFonts w:ascii="Times New Roman" w:eastAsia="宋体" w:hAnsi="Times New Roman" w:cs="Times New Roman"/>
                <w:color w:val="000000" w:themeColor="text1"/>
                <w:sz w:val="16"/>
                <w:szCs w:val="16"/>
              </w:rPr>
              <w:t>）</w:t>
            </w:r>
          </w:p>
        </w:tc>
        <w:tc>
          <w:tcPr>
            <w:tcW w:w="689" w:type="pct"/>
            <w:shd w:val="clear" w:color="auto" w:fill="auto"/>
            <w:vAlign w:val="center"/>
            <w:hideMark/>
          </w:tcPr>
          <w:p w:rsidR="00A35D1A" w:rsidRPr="00EA612D" w:rsidRDefault="00A35D1A" w:rsidP="00A35D1A">
            <w:pPr>
              <w:snapToGrid w:val="0"/>
              <w:spacing w:line="200" w:lineRule="atLeast"/>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应收账款余额</w:t>
            </w:r>
          </w:p>
        </w:tc>
        <w:tc>
          <w:tcPr>
            <w:tcW w:w="705" w:type="pct"/>
            <w:shd w:val="clear" w:color="auto" w:fill="auto"/>
            <w:vAlign w:val="center"/>
            <w:hideMark/>
          </w:tcPr>
          <w:p w:rsidR="00A35D1A" w:rsidRPr="00EA612D" w:rsidRDefault="00A35D1A" w:rsidP="00A35D1A">
            <w:pPr>
              <w:snapToGrid w:val="0"/>
              <w:spacing w:line="200" w:lineRule="atLeast"/>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坏账准备</w:t>
            </w:r>
          </w:p>
        </w:tc>
        <w:tc>
          <w:tcPr>
            <w:tcW w:w="450" w:type="pct"/>
            <w:shd w:val="clear" w:color="auto" w:fill="auto"/>
            <w:vAlign w:val="center"/>
            <w:hideMark/>
          </w:tcPr>
          <w:p w:rsidR="00A35D1A" w:rsidRPr="00EA612D" w:rsidRDefault="00A35D1A" w:rsidP="00A35D1A">
            <w:pPr>
              <w:snapToGrid w:val="0"/>
              <w:spacing w:line="200" w:lineRule="atLeast"/>
              <w:jc w:val="center"/>
              <w:rPr>
                <w:rFonts w:ascii="Times New Roman"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计提比例（</w:t>
            </w:r>
            <w:r w:rsidRPr="00EA612D">
              <w:rPr>
                <w:rFonts w:ascii="Times New Roman" w:eastAsia="宋体" w:hAnsi="Times New Roman" w:cs="Times New Roman"/>
                <w:color w:val="000000" w:themeColor="text1"/>
                <w:sz w:val="16"/>
                <w:szCs w:val="16"/>
              </w:rPr>
              <w:t>%</w:t>
            </w:r>
            <w:r w:rsidRPr="00EA612D">
              <w:rPr>
                <w:rFonts w:ascii="Times New Roman" w:eastAsia="宋体" w:hAnsi="Times New Roman" w:cs="Times New Roman"/>
                <w:color w:val="000000" w:themeColor="text1"/>
                <w:sz w:val="16"/>
                <w:szCs w:val="16"/>
              </w:rPr>
              <w:t>）</w:t>
            </w:r>
          </w:p>
        </w:tc>
      </w:tr>
      <w:tr w:rsidR="00835FFC" w:rsidRPr="00EA612D" w:rsidTr="00A35D1A">
        <w:trPr>
          <w:trHeight w:val="510"/>
        </w:trPr>
        <w:tc>
          <w:tcPr>
            <w:tcW w:w="1320" w:type="pct"/>
            <w:vAlign w:val="center"/>
          </w:tcPr>
          <w:p w:rsidR="00A35D1A" w:rsidRPr="00EA612D" w:rsidRDefault="00A35D1A" w:rsidP="00A35D1A">
            <w:pPr>
              <w:adjustRightInd w:val="0"/>
              <w:snapToGrid w:val="0"/>
              <w:spacing w:line="200" w:lineRule="atLeas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1</w:t>
            </w:r>
            <w:r w:rsidRPr="00EA612D">
              <w:rPr>
                <w:rFonts w:ascii="Times New Roman" w:eastAsia="宋体" w:hAnsi="Times New Roman" w:cs="Times New Roman"/>
                <w:color w:val="000000" w:themeColor="text1"/>
                <w:sz w:val="16"/>
                <w:szCs w:val="16"/>
              </w:rPr>
              <w:t>年以内（含</w:t>
            </w:r>
            <w:r w:rsidRPr="00EA612D">
              <w:rPr>
                <w:rFonts w:ascii="Times New Roman" w:eastAsia="宋体" w:hAnsi="Times New Roman" w:cs="Times New Roman"/>
                <w:color w:val="000000" w:themeColor="text1"/>
                <w:sz w:val="16"/>
                <w:szCs w:val="16"/>
              </w:rPr>
              <w:t>1</w:t>
            </w:r>
            <w:r w:rsidRPr="00EA612D">
              <w:rPr>
                <w:rFonts w:ascii="Times New Roman" w:eastAsia="宋体" w:hAnsi="Times New Roman" w:cs="Times New Roman"/>
                <w:color w:val="000000" w:themeColor="text1"/>
                <w:sz w:val="16"/>
                <w:szCs w:val="16"/>
              </w:rPr>
              <w:t>年）</w:t>
            </w:r>
          </w:p>
        </w:tc>
        <w:tc>
          <w:tcPr>
            <w:tcW w:w="689" w:type="pct"/>
            <w:shd w:val="clear" w:color="auto" w:fill="auto"/>
            <w:vAlign w:val="center"/>
          </w:tcPr>
          <w:p w:rsidR="00A35D1A" w:rsidRPr="00EA612D" w:rsidRDefault="00A35D1A" w:rsidP="00A35D1A">
            <w:pPr>
              <w:jc w:val="right"/>
              <w:rPr>
                <w:rFonts w:ascii="Times New Roman" w:eastAsia="宋体" w:hAnsi="Times New Roman" w:cs="Times New Roman"/>
                <w:color w:val="000000" w:themeColor="text1"/>
                <w:sz w:val="16"/>
                <w:szCs w:val="16"/>
              </w:rPr>
            </w:pPr>
            <w:r w:rsidRPr="00EA612D">
              <w:rPr>
                <w:rFonts w:ascii="Times New Roman" w:hAnsi="Times New Roman" w:cs="Times New Roman"/>
                <w:color w:val="000000" w:themeColor="text1"/>
                <w:sz w:val="16"/>
                <w:szCs w:val="16"/>
              </w:rPr>
              <w:t>129,320.38</w:t>
            </w:r>
          </w:p>
        </w:tc>
        <w:tc>
          <w:tcPr>
            <w:tcW w:w="689" w:type="pct"/>
            <w:shd w:val="clear" w:color="auto" w:fill="auto"/>
            <w:vAlign w:val="center"/>
          </w:tcPr>
          <w:p w:rsidR="00A35D1A" w:rsidRPr="00EA612D" w:rsidRDefault="00A35D1A" w:rsidP="00A35D1A">
            <w:pPr>
              <w:jc w:val="right"/>
              <w:rPr>
                <w:rFonts w:ascii="Times New Roman" w:eastAsia="宋体" w:hAnsi="Times New Roman" w:cs="Times New Roman"/>
                <w:color w:val="000000" w:themeColor="text1"/>
                <w:sz w:val="16"/>
                <w:szCs w:val="16"/>
              </w:rPr>
            </w:pPr>
            <w:r w:rsidRPr="00EA612D">
              <w:rPr>
                <w:rFonts w:ascii="Times New Roman" w:hAnsi="Times New Roman" w:cs="Times New Roman"/>
                <w:color w:val="000000" w:themeColor="text1"/>
                <w:sz w:val="16"/>
                <w:szCs w:val="16"/>
              </w:rPr>
              <w:t>646.60</w:t>
            </w:r>
          </w:p>
        </w:tc>
        <w:tc>
          <w:tcPr>
            <w:tcW w:w="458" w:type="pct"/>
            <w:shd w:val="clear" w:color="auto" w:fill="auto"/>
            <w:vAlign w:val="center"/>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0.50</w:t>
            </w:r>
          </w:p>
        </w:tc>
        <w:tc>
          <w:tcPr>
            <w:tcW w:w="689" w:type="pct"/>
            <w:shd w:val="clear" w:color="auto" w:fill="auto"/>
            <w:vAlign w:val="center"/>
          </w:tcPr>
          <w:p w:rsidR="00A35D1A" w:rsidRPr="00EA612D" w:rsidRDefault="00A35D1A" w:rsidP="00A35D1A">
            <w:pPr>
              <w:jc w:val="right"/>
              <w:rPr>
                <w:rFonts w:ascii="Times New Roman" w:eastAsia="宋体" w:hAnsi="Times New Roman" w:cs="Times New Roman"/>
                <w:color w:val="000000" w:themeColor="text1"/>
                <w:sz w:val="16"/>
                <w:szCs w:val="16"/>
              </w:rPr>
            </w:pPr>
            <w:r w:rsidRPr="00EA612D">
              <w:rPr>
                <w:rFonts w:ascii="Times New Roman" w:hAnsi="Times New Roman" w:cs="Times New Roman"/>
                <w:color w:val="000000" w:themeColor="text1"/>
                <w:sz w:val="16"/>
                <w:szCs w:val="16"/>
              </w:rPr>
              <w:t>163,553.63</w:t>
            </w:r>
          </w:p>
        </w:tc>
        <w:tc>
          <w:tcPr>
            <w:tcW w:w="705" w:type="pct"/>
            <w:shd w:val="clear" w:color="auto" w:fill="auto"/>
            <w:vAlign w:val="center"/>
          </w:tcPr>
          <w:p w:rsidR="00A35D1A" w:rsidRPr="00EA612D" w:rsidRDefault="00A35D1A" w:rsidP="00A35D1A">
            <w:pPr>
              <w:jc w:val="right"/>
              <w:rPr>
                <w:rFonts w:ascii="Times New Roman" w:eastAsia="宋体" w:hAnsi="Times New Roman" w:cs="Times New Roman"/>
                <w:color w:val="000000" w:themeColor="text1"/>
                <w:sz w:val="16"/>
                <w:szCs w:val="16"/>
              </w:rPr>
            </w:pPr>
            <w:r w:rsidRPr="00EA612D">
              <w:rPr>
                <w:rFonts w:ascii="Times New Roman" w:hAnsi="Times New Roman" w:cs="Times New Roman"/>
                <w:color w:val="000000" w:themeColor="text1"/>
                <w:sz w:val="16"/>
                <w:szCs w:val="16"/>
              </w:rPr>
              <w:t>814.44</w:t>
            </w:r>
          </w:p>
        </w:tc>
        <w:tc>
          <w:tcPr>
            <w:tcW w:w="450" w:type="pct"/>
            <w:shd w:val="clear" w:color="auto" w:fill="auto"/>
            <w:vAlign w:val="center"/>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0.50</w:t>
            </w:r>
          </w:p>
        </w:tc>
      </w:tr>
      <w:tr w:rsidR="00835FFC" w:rsidRPr="00EA612D" w:rsidTr="00A35D1A">
        <w:trPr>
          <w:trHeight w:val="338"/>
        </w:trPr>
        <w:tc>
          <w:tcPr>
            <w:tcW w:w="1320" w:type="pct"/>
            <w:vAlign w:val="center"/>
            <w:hideMark/>
          </w:tcPr>
          <w:p w:rsidR="00A35D1A" w:rsidRPr="00EA612D" w:rsidRDefault="00A35D1A" w:rsidP="00A35D1A">
            <w:pPr>
              <w:adjustRightInd w:val="0"/>
              <w:snapToGrid w:val="0"/>
              <w:spacing w:line="200" w:lineRule="atLeas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1</w:t>
            </w:r>
            <w:r w:rsidRPr="00EA612D">
              <w:rPr>
                <w:rFonts w:ascii="Times New Roman" w:eastAsia="宋体" w:hAnsi="Times New Roman" w:cs="Times New Roman"/>
                <w:color w:val="000000" w:themeColor="text1"/>
                <w:sz w:val="16"/>
                <w:szCs w:val="16"/>
              </w:rPr>
              <w:t>－</w:t>
            </w:r>
            <w:r w:rsidRPr="00EA612D">
              <w:rPr>
                <w:rFonts w:ascii="Times New Roman" w:eastAsia="宋体" w:hAnsi="Times New Roman" w:cs="Times New Roman"/>
                <w:color w:val="000000" w:themeColor="text1"/>
                <w:sz w:val="16"/>
                <w:szCs w:val="16"/>
              </w:rPr>
              <w:t>2</w:t>
            </w:r>
            <w:r w:rsidRPr="00EA612D">
              <w:rPr>
                <w:rFonts w:ascii="Times New Roman" w:eastAsia="宋体" w:hAnsi="Times New Roman" w:cs="Times New Roman"/>
                <w:color w:val="000000" w:themeColor="text1"/>
                <w:sz w:val="16"/>
                <w:szCs w:val="16"/>
              </w:rPr>
              <w:t>年（含</w:t>
            </w:r>
            <w:r w:rsidRPr="00EA612D">
              <w:rPr>
                <w:rFonts w:ascii="Times New Roman" w:eastAsia="宋体" w:hAnsi="Times New Roman" w:cs="Times New Roman"/>
                <w:color w:val="000000" w:themeColor="text1"/>
                <w:sz w:val="16"/>
                <w:szCs w:val="16"/>
              </w:rPr>
              <w:t>2</w:t>
            </w:r>
            <w:r w:rsidRPr="00EA612D">
              <w:rPr>
                <w:rFonts w:ascii="Times New Roman" w:eastAsia="宋体" w:hAnsi="Times New Roman" w:cs="Times New Roman"/>
                <w:color w:val="000000" w:themeColor="text1"/>
                <w:sz w:val="16"/>
                <w:szCs w:val="16"/>
              </w:rPr>
              <w:t>年）</w:t>
            </w:r>
          </w:p>
        </w:tc>
        <w:tc>
          <w:tcPr>
            <w:tcW w:w="689" w:type="pct"/>
            <w:shd w:val="clear" w:color="auto" w:fill="auto"/>
            <w:vAlign w:val="center"/>
            <w:hideMark/>
          </w:tcPr>
          <w:p w:rsidR="00A35D1A" w:rsidRPr="00EA612D" w:rsidRDefault="00A35D1A" w:rsidP="00A35D1A">
            <w:pPr>
              <w:jc w:val="right"/>
              <w:rPr>
                <w:rFonts w:ascii="Times New Roman" w:eastAsia="宋体" w:hAnsi="Times New Roman" w:cs="Times New Roman"/>
                <w:color w:val="000000" w:themeColor="text1"/>
                <w:sz w:val="16"/>
                <w:szCs w:val="16"/>
              </w:rPr>
            </w:pPr>
            <w:r w:rsidRPr="00EA612D">
              <w:rPr>
                <w:rFonts w:ascii="Times New Roman" w:hAnsi="Times New Roman" w:cs="Times New Roman"/>
                <w:color w:val="000000" w:themeColor="text1"/>
                <w:sz w:val="16"/>
                <w:szCs w:val="16"/>
              </w:rPr>
              <w:t>21,397.11</w:t>
            </w:r>
          </w:p>
        </w:tc>
        <w:tc>
          <w:tcPr>
            <w:tcW w:w="689" w:type="pct"/>
            <w:shd w:val="clear" w:color="auto" w:fill="auto"/>
            <w:vAlign w:val="center"/>
            <w:hideMark/>
          </w:tcPr>
          <w:p w:rsidR="00A35D1A" w:rsidRPr="00EA612D" w:rsidRDefault="00A35D1A" w:rsidP="00A35D1A">
            <w:pPr>
              <w:jc w:val="right"/>
              <w:rPr>
                <w:rFonts w:ascii="Times New Roman" w:eastAsia="宋体" w:hAnsi="Times New Roman" w:cs="Times New Roman"/>
                <w:color w:val="000000" w:themeColor="text1"/>
                <w:sz w:val="16"/>
                <w:szCs w:val="16"/>
              </w:rPr>
            </w:pPr>
            <w:r w:rsidRPr="00EA612D">
              <w:rPr>
                <w:rFonts w:ascii="Times New Roman" w:hAnsi="Times New Roman" w:cs="Times New Roman"/>
                <w:color w:val="000000" w:themeColor="text1"/>
                <w:sz w:val="16"/>
                <w:szCs w:val="16"/>
              </w:rPr>
              <w:t>427.94</w:t>
            </w:r>
          </w:p>
        </w:tc>
        <w:tc>
          <w:tcPr>
            <w:tcW w:w="458" w:type="pct"/>
            <w:shd w:val="clear" w:color="auto" w:fill="auto"/>
            <w:vAlign w:val="center"/>
            <w:hideMark/>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2.00</w:t>
            </w:r>
          </w:p>
        </w:tc>
        <w:tc>
          <w:tcPr>
            <w:tcW w:w="689" w:type="pct"/>
            <w:shd w:val="clear" w:color="auto" w:fill="auto"/>
            <w:vAlign w:val="center"/>
            <w:hideMark/>
          </w:tcPr>
          <w:p w:rsidR="00A35D1A" w:rsidRPr="00EA612D" w:rsidRDefault="00A35D1A" w:rsidP="00A35D1A">
            <w:pPr>
              <w:jc w:val="right"/>
              <w:rPr>
                <w:rFonts w:ascii="Times New Roman" w:eastAsia="宋体" w:hAnsi="Times New Roman" w:cs="Times New Roman"/>
                <w:color w:val="000000" w:themeColor="text1"/>
                <w:sz w:val="16"/>
                <w:szCs w:val="16"/>
              </w:rPr>
            </w:pPr>
            <w:r w:rsidRPr="00EA612D">
              <w:rPr>
                <w:rFonts w:ascii="Times New Roman" w:hAnsi="Times New Roman" w:cs="Times New Roman"/>
                <w:color w:val="000000" w:themeColor="text1"/>
                <w:sz w:val="16"/>
                <w:szCs w:val="16"/>
              </w:rPr>
              <w:t>66,740.61</w:t>
            </w:r>
          </w:p>
        </w:tc>
        <w:tc>
          <w:tcPr>
            <w:tcW w:w="705" w:type="pct"/>
            <w:shd w:val="clear" w:color="auto" w:fill="auto"/>
            <w:vAlign w:val="center"/>
            <w:hideMark/>
          </w:tcPr>
          <w:p w:rsidR="00A35D1A" w:rsidRPr="00EA612D" w:rsidRDefault="00A35D1A" w:rsidP="00A35D1A">
            <w:pPr>
              <w:jc w:val="right"/>
              <w:rPr>
                <w:rFonts w:ascii="Times New Roman" w:eastAsia="宋体" w:hAnsi="Times New Roman" w:cs="Times New Roman"/>
                <w:color w:val="000000" w:themeColor="text1"/>
                <w:sz w:val="16"/>
                <w:szCs w:val="16"/>
              </w:rPr>
            </w:pPr>
            <w:r w:rsidRPr="00EA612D">
              <w:rPr>
                <w:rFonts w:ascii="Times New Roman" w:hAnsi="Times New Roman" w:cs="Times New Roman"/>
                <w:color w:val="000000" w:themeColor="text1"/>
                <w:sz w:val="16"/>
                <w:szCs w:val="16"/>
              </w:rPr>
              <w:t>1,334.81</w:t>
            </w:r>
          </w:p>
        </w:tc>
        <w:tc>
          <w:tcPr>
            <w:tcW w:w="450" w:type="pct"/>
            <w:shd w:val="clear" w:color="auto" w:fill="auto"/>
            <w:vAlign w:val="center"/>
            <w:hideMark/>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2.00</w:t>
            </w:r>
          </w:p>
        </w:tc>
      </w:tr>
      <w:tr w:rsidR="00835FFC" w:rsidRPr="00EA612D" w:rsidTr="00A35D1A">
        <w:trPr>
          <w:trHeight w:val="291"/>
        </w:trPr>
        <w:tc>
          <w:tcPr>
            <w:tcW w:w="1320" w:type="pct"/>
            <w:vAlign w:val="center"/>
            <w:hideMark/>
          </w:tcPr>
          <w:p w:rsidR="00A35D1A" w:rsidRPr="00EA612D" w:rsidRDefault="00A35D1A" w:rsidP="00A35D1A">
            <w:pPr>
              <w:adjustRightInd w:val="0"/>
              <w:snapToGrid w:val="0"/>
              <w:spacing w:line="200" w:lineRule="atLeas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2</w:t>
            </w:r>
            <w:r w:rsidRPr="00EA612D">
              <w:rPr>
                <w:rFonts w:ascii="Times New Roman" w:eastAsia="宋体" w:hAnsi="Times New Roman" w:cs="Times New Roman"/>
                <w:color w:val="000000" w:themeColor="text1"/>
                <w:sz w:val="16"/>
                <w:szCs w:val="16"/>
              </w:rPr>
              <w:t>－</w:t>
            </w:r>
            <w:r w:rsidRPr="00EA612D">
              <w:rPr>
                <w:rFonts w:ascii="Times New Roman" w:eastAsia="宋体" w:hAnsi="Times New Roman" w:cs="Times New Roman"/>
                <w:color w:val="000000" w:themeColor="text1"/>
                <w:sz w:val="16"/>
                <w:szCs w:val="16"/>
              </w:rPr>
              <w:t>3</w:t>
            </w:r>
            <w:r w:rsidRPr="00EA612D">
              <w:rPr>
                <w:rFonts w:ascii="Times New Roman" w:eastAsia="宋体" w:hAnsi="Times New Roman" w:cs="Times New Roman"/>
                <w:color w:val="000000" w:themeColor="text1"/>
                <w:sz w:val="16"/>
                <w:szCs w:val="16"/>
              </w:rPr>
              <w:t>年（含</w:t>
            </w:r>
            <w:r w:rsidRPr="00EA612D">
              <w:rPr>
                <w:rFonts w:ascii="Times New Roman" w:eastAsia="宋体" w:hAnsi="Times New Roman" w:cs="Times New Roman"/>
                <w:color w:val="000000" w:themeColor="text1"/>
                <w:sz w:val="16"/>
                <w:szCs w:val="16"/>
              </w:rPr>
              <w:t>3</w:t>
            </w:r>
            <w:r w:rsidRPr="00EA612D">
              <w:rPr>
                <w:rFonts w:ascii="Times New Roman" w:eastAsia="宋体" w:hAnsi="Times New Roman" w:cs="Times New Roman"/>
                <w:color w:val="000000" w:themeColor="text1"/>
                <w:sz w:val="16"/>
                <w:szCs w:val="16"/>
              </w:rPr>
              <w:t>年）</w:t>
            </w:r>
          </w:p>
        </w:tc>
        <w:tc>
          <w:tcPr>
            <w:tcW w:w="689" w:type="pct"/>
            <w:shd w:val="clear" w:color="auto" w:fill="auto"/>
            <w:vAlign w:val="center"/>
          </w:tcPr>
          <w:p w:rsidR="00A35D1A" w:rsidRPr="00EA612D" w:rsidRDefault="00A35D1A" w:rsidP="00A35D1A">
            <w:pPr>
              <w:jc w:val="right"/>
              <w:rPr>
                <w:rFonts w:ascii="Times New Roman" w:eastAsia="宋体" w:hAnsi="Times New Roman" w:cs="Times New Roman"/>
                <w:color w:val="000000" w:themeColor="text1"/>
                <w:sz w:val="16"/>
                <w:szCs w:val="16"/>
              </w:rPr>
            </w:pPr>
            <w:r w:rsidRPr="00EA612D">
              <w:rPr>
                <w:rFonts w:ascii="Times New Roman" w:hAnsi="Times New Roman" w:cs="Times New Roman"/>
                <w:color w:val="000000" w:themeColor="text1"/>
                <w:sz w:val="16"/>
                <w:szCs w:val="16"/>
              </w:rPr>
              <w:t>32,227.30</w:t>
            </w:r>
          </w:p>
        </w:tc>
        <w:tc>
          <w:tcPr>
            <w:tcW w:w="689" w:type="pct"/>
            <w:shd w:val="clear" w:color="auto" w:fill="auto"/>
            <w:vAlign w:val="center"/>
          </w:tcPr>
          <w:p w:rsidR="00A35D1A" w:rsidRPr="00EA612D" w:rsidRDefault="00A35D1A" w:rsidP="00A35D1A">
            <w:pPr>
              <w:jc w:val="right"/>
              <w:rPr>
                <w:rFonts w:ascii="Times New Roman" w:eastAsia="宋体" w:hAnsi="Times New Roman" w:cs="Times New Roman"/>
                <w:color w:val="000000" w:themeColor="text1"/>
                <w:sz w:val="16"/>
                <w:szCs w:val="16"/>
              </w:rPr>
            </w:pPr>
            <w:r w:rsidRPr="00EA612D">
              <w:rPr>
                <w:rFonts w:ascii="Times New Roman" w:hAnsi="Times New Roman" w:cs="Times New Roman"/>
                <w:color w:val="000000" w:themeColor="text1"/>
                <w:sz w:val="16"/>
                <w:szCs w:val="16"/>
              </w:rPr>
              <w:t>1,611.36</w:t>
            </w:r>
          </w:p>
        </w:tc>
        <w:tc>
          <w:tcPr>
            <w:tcW w:w="458" w:type="pct"/>
            <w:shd w:val="clear" w:color="auto" w:fill="auto"/>
            <w:vAlign w:val="center"/>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5.00</w:t>
            </w:r>
          </w:p>
        </w:tc>
        <w:tc>
          <w:tcPr>
            <w:tcW w:w="689" w:type="pct"/>
            <w:shd w:val="clear" w:color="auto" w:fill="auto"/>
            <w:vAlign w:val="center"/>
            <w:hideMark/>
          </w:tcPr>
          <w:p w:rsidR="00A35D1A" w:rsidRPr="00EA612D" w:rsidRDefault="00A35D1A" w:rsidP="00A35D1A">
            <w:pPr>
              <w:jc w:val="right"/>
              <w:rPr>
                <w:rFonts w:ascii="Times New Roman" w:eastAsia="宋体" w:hAnsi="Times New Roman" w:cs="Times New Roman"/>
                <w:color w:val="000000" w:themeColor="text1"/>
                <w:sz w:val="16"/>
                <w:szCs w:val="16"/>
              </w:rPr>
            </w:pPr>
            <w:r w:rsidRPr="00EA612D">
              <w:rPr>
                <w:rFonts w:ascii="Times New Roman" w:hAnsi="Times New Roman" w:cs="Times New Roman"/>
                <w:color w:val="000000" w:themeColor="text1"/>
                <w:sz w:val="16"/>
                <w:szCs w:val="16"/>
              </w:rPr>
              <w:t>44,962.23</w:t>
            </w:r>
          </w:p>
        </w:tc>
        <w:tc>
          <w:tcPr>
            <w:tcW w:w="705" w:type="pct"/>
            <w:shd w:val="clear" w:color="auto" w:fill="auto"/>
            <w:vAlign w:val="center"/>
            <w:hideMark/>
          </w:tcPr>
          <w:p w:rsidR="00A35D1A" w:rsidRPr="00EA612D" w:rsidRDefault="00A35D1A" w:rsidP="00A35D1A">
            <w:pPr>
              <w:jc w:val="right"/>
              <w:rPr>
                <w:rFonts w:ascii="Times New Roman" w:eastAsia="宋体" w:hAnsi="Times New Roman" w:cs="Times New Roman"/>
                <w:color w:val="000000" w:themeColor="text1"/>
                <w:sz w:val="16"/>
                <w:szCs w:val="16"/>
              </w:rPr>
            </w:pPr>
            <w:r w:rsidRPr="00EA612D">
              <w:rPr>
                <w:rFonts w:ascii="Times New Roman" w:hAnsi="Times New Roman" w:cs="Times New Roman"/>
                <w:color w:val="000000" w:themeColor="text1"/>
                <w:sz w:val="16"/>
                <w:szCs w:val="16"/>
              </w:rPr>
              <w:t>2,248.11</w:t>
            </w:r>
          </w:p>
        </w:tc>
        <w:tc>
          <w:tcPr>
            <w:tcW w:w="450" w:type="pct"/>
            <w:shd w:val="clear" w:color="auto" w:fill="auto"/>
            <w:vAlign w:val="center"/>
            <w:hideMark/>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5.00</w:t>
            </w:r>
          </w:p>
        </w:tc>
      </w:tr>
      <w:tr w:rsidR="00835FFC" w:rsidRPr="00EA612D" w:rsidTr="00A35D1A">
        <w:trPr>
          <w:trHeight w:val="261"/>
        </w:trPr>
        <w:tc>
          <w:tcPr>
            <w:tcW w:w="1320" w:type="pct"/>
            <w:vAlign w:val="center"/>
            <w:hideMark/>
          </w:tcPr>
          <w:p w:rsidR="00A35D1A" w:rsidRPr="00EA612D" w:rsidRDefault="00A35D1A" w:rsidP="00A35D1A">
            <w:pPr>
              <w:adjustRightInd w:val="0"/>
              <w:snapToGrid w:val="0"/>
              <w:spacing w:line="200" w:lineRule="atLeas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3</w:t>
            </w:r>
            <w:r w:rsidRPr="00EA612D">
              <w:rPr>
                <w:rFonts w:ascii="Times New Roman" w:eastAsia="宋体" w:hAnsi="Times New Roman" w:cs="Times New Roman"/>
                <w:color w:val="000000" w:themeColor="text1"/>
                <w:sz w:val="16"/>
                <w:szCs w:val="16"/>
              </w:rPr>
              <w:t>－</w:t>
            </w:r>
            <w:r w:rsidRPr="00EA612D">
              <w:rPr>
                <w:rFonts w:ascii="Times New Roman" w:eastAsia="宋体" w:hAnsi="Times New Roman" w:cs="Times New Roman"/>
                <w:color w:val="000000" w:themeColor="text1"/>
                <w:sz w:val="16"/>
                <w:szCs w:val="16"/>
              </w:rPr>
              <w:t>4</w:t>
            </w:r>
            <w:r w:rsidRPr="00EA612D">
              <w:rPr>
                <w:rFonts w:ascii="Times New Roman" w:eastAsia="宋体" w:hAnsi="Times New Roman" w:cs="Times New Roman"/>
                <w:color w:val="000000" w:themeColor="text1"/>
                <w:sz w:val="16"/>
                <w:szCs w:val="16"/>
              </w:rPr>
              <w:t>年（含</w:t>
            </w:r>
            <w:r w:rsidRPr="00EA612D">
              <w:rPr>
                <w:rFonts w:ascii="Times New Roman" w:eastAsia="宋体" w:hAnsi="Times New Roman" w:cs="Times New Roman"/>
                <w:color w:val="000000" w:themeColor="text1"/>
                <w:sz w:val="16"/>
                <w:szCs w:val="16"/>
              </w:rPr>
              <w:t>4</w:t>
            </w:r>
            <w:r w:rsidRPr="00EA612D">
              <w:rPr>
                <w:rFonts w:ascii="Times New Roman" w:eastAsia="宋体" w:hAnsi="Times New Roman" w:cs="Times New Roman"/>
                <w:color w:val="000000" w:themeColor="text1"/>
                <w:sz w:val="16"/>
                <w:szCs w:val="16"/>
              </w:rPr>
              <w:t>年）</w:t>
            </w:r>
          </w:p>
        </w:tc>
        <w:tc>
          <w:tcPr>
            <w:tcW w:w="689" w:type="pct"/>
            <w:shd w:val="clear" w:color="auto" w:fill="auto"/>
            <w:vAlign w:val="center"/>
            <w:hideMark/>
          </w:tcPr>
          <w:p w:rsidR="00A35D1A" w:rsidRPr="00EA612D" w:rsidRDefault="00A35D1A" w:rsidP="00A35D1A">
            <w:pPr>
              <w:jc w:val="right"/>
              <w:rPr>
                <w:rFonts w:ascii="Times New Roman" w:eastAsia="宋体" w:hAnsi="Times New Roman" w:cs="Times New Roman"/>
                <w:color w:val="000000" w:themeColor="text1"/>
                <w:sz w:val="16"/>
                <w:szCs w:val="16"/>
              </w:rPr>
            </w:pPr>
            <w:r w:rsidRPr="00EA612D">
              <w:rPr>
                <w:rFonts w:ascii="Times New Roman" w:hAnsi="Times New Roman" w:cs="Times New Roman"/>
                <w:color w:val="000000" w:themeColor="text1"/>
                <w:sz w:val="16"/>
                <w:szCs w:val="16"/>
              </w:rPr>
              <w:t>22,244.07</w:t>
            </w:r>
          </w:p>
        </w:tc>
        <w:tc>
          <w:tcPr>
            <w:tcW w:w="689" w:type="pct"/>
            <w:shd w:val="clear" w:color="auto" w:fill="auto"/>
            <w:vAlign w:val="center"/>
            <w:hideMark/>
          </w:tcPr>
          <w:p w:rsidR="00A35D1A" w:rsidRPr="00EA612D" w:rsidRDefault="00A35D1A" w:rsidP="00966BDE">
            <w:pPr>
              <w:jc w:val="right"/>
              <w:rPr>
                <w:rFonts w:ascii="Times New Roman" w:eastAsia="宋体" w:hAnsi="Times New Roman" w:cs="Times New Roman"/>
                <w:color w:val="000000" w:themeColor="text1"/>
                <w:sz w:val="16"/>
                <w:szCs w:val="16"/>
              </w:rPr>
            </w:pPr>
            <w:r w:rsidRPr="00EA612D">
              <w:rPr>
                <w:rFonts w:ascii="Times New Roman" w:hAnsi="Times New Roman" w:cs="Times New Roman"/>
                <w:color w:val="000000" w:themeColor="text1"/>
                <w:sz w:val="16"/>
                <w:szCs w:val="16"/>
              </w:rPr>
              <w:t>6,673.</w:t>
            </w:r>
            <w:r w:rsidR="00966BDE" w:rsidRPr="00EA612D">
              <w:rPr>
                <w:rFonts w:ascii="Times New Roman" w:hAnsi="Times New Roman" w:cs="Times New Roman"/>
                <w:color w:val="000000" w:themeColor="text1"/>
                <w:sz w:val="16"/>
                <w:szCs w:val="16"/>
              </w:rPr>
              <w:t>23</w:t>
            </w:r>
          </w:p>
        </w:tc>
        <w:tc>
          <w:tcPr>
            <w:tcW w:w="458" w:type="pct"/>
            <w:shd w:val="clear" w:color="auto" w:fill="auto"/>
            <w:vAlign w:val="center"/>
            <w:hideMark/>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30.00</w:t>
            </w:r>
          </w:p>
        </w:tc>
        <w:tc>
          <w:tcPr>
            <w:tcW w:w="689" w:type="pct"/>
            <w:shd w:val="clear" w:color="auto" w:fill="auto"/>
            <w:vAlign w:val="center"/>
            <w:hideMark/>
          </w:tcPr>
          <w:p w:rsidR="00A35D1A" w:rsidRPr="00EA612D" w:rsidRDefault="00A35D1A" w:rsidP="00A35D1A">
            <w:pPr>
              <w:jc w:val="right"/>
              <w:rPr>
                <w:rFonts w:ascii="Times New Roman" w:eastAsia="宋体" w:hAnsi="Times New Roman" w:cs="Times New Roman"/>
                <w:color w:val="000000" w:themeColor="text1"/>
                <w:sz w:val="16"/>
                <w:szCs w:val="16"/>
              </w:rPr>
            </w:pPr>
            <w:r w:rsidRPr="00EA612D">
              <w:rPr>
                <w:rFonts w:ascii="Times New Roman" w:hAnsi="Times New Roman" w:cs="Times New Roman"/>
                <w:color w:val="000000" w:themeColor="text1"/>
                <w:sz w:val="16"/>
                <w:szCs w:val="16"/>
              </w:rPr>
              <w:t>31,006.21</w:t>
            </w:r>
          </w:p>
        </w:tc>
        <w:tc>
          <w:tcPr>
            <w:tcW w:w="705" w:type="pct"/>
            <w:shd w:val="clear" w:color="auto" w:fill="auto"/>
            <w:vAlign w:val="center"/>
            <w:hideMark/>
          </w:tcPr>
          <w:p w:rsidR="00A35D1A" w:rsidRPr="00EA612D" w:rsidRDefault="00A35D1A" w:rsidP="00966BDE">
            <w:pPr>
              <w:jc w:val="right"/>
              <w:rPr>
                <w:rFonts w:ascii="Times New Roman" w:eastAsia="宋体" w:hAnsi="Times New Roman" w:cs="Times New Roman"/>
                <w:color w:val="000000" w:themeColor="text1"/>
                <w:sz w:val="16"/>
                <w:szCs w:val="16"/>
              </w:rPr>
            </w:pPr>
            <w:r w:rsidRPr="00EA612D">
              <w:rPr>
                <w:rFonts w:ascii="Times New Roman" w:hAnsi="Times New Roman" w:cs="Times New Roman"/>
                <w:color w:val="000000" w:themeColor="text1"/>
                <w:sz w:val="16"/>
                <w:szCs w:val="16"/>
              </w:rPr>
              <w:t>9,301.</w:t>
            </w:r>
            <w:r w:rsidR="00966BDE" w:rsidRPr="00EA612D">
              <w:rPr>
                <w:rFonts w:ascii="Times New Roman" w:hAnsi="Times New Roman" w:cs="Times New Roman"/>
                <w:color w:val="000000" w:themeColor="text1"/>
                <w:sz w:val="16"/>
                <w:szCs w:val="16"/>
              </w:rPr>
              <w:t>87</w:t>
            </w:r>
          </w:p>
        </w:tc>
        <w:tc>
          <w:tcPr>
            <w:tcW w:w="450" w:type="pct"/>
            <w:shd w:val="clear" w:color="auto" w:fill="auto"/>
            <w:vAlign w:val="center"/>
            <w:hideMark/>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30.00</w:t>
            </w:r>
          </w:p>
        </w:tc>
      </w:tr>
      <w:tr w:rsidR="00835FFC" w:rsidRPr="00EA612D" w:rsidTr="00A35D1A">
        <w:trPr>
          <w:trHeight w:val="297"/>
        </w:trPr>
        <w:tc>
          <w:tcPr>
            <w:tcW w:w="1320" w:type="pct"/>
            <w:vAlign w:val="center"/>
            <w:hideMark/>
          </w:tcPr>
          <w:p w:rsidR="00A35D1A" w:rsidRPr="00EA612D" w:rsidRDefault="00A35D1A" w:rsidP="00A35D1A">
            <w:pPr>
              <w:adjustRightInd w:val="0"/>
              <w:snapToGrid w:val="0"/>
              <w:spacing w:line="200" w:lineRule="atLeas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4</w:t>
            </w:r>
            <w:r w:rsidRPr="00EA612D">
              <w:rPr>
                <w:rFonts w:ascii="Times New Roman" w:eastAsia="宋体" w:hAnsi="Times New Roman" w:cs="Times New Roman"/>
                <w:color w:val="000000" w:themeColor="text1"/>
                <w:sz w:val="16"/>
                <w:szCs w:val="16"/>
              </w:rPr>
              <w:t>－</w:t>
            </w:r>
            <w:r w:rsidRPr="00EA612D">
              <w:rPr>
                <w:rFonts w:ascii="Times New Roman" w:eastAsia="宋体" w:hAnsi="Times New Roman" w:cs="Times New Roman"/>
                <w:color w:val="000000" w:themeColor="text1"/>
                <w:sz w:val="16"/>
                <w:szCs w:val="16"/>
              </w:rPr>
              <w:t>5</w:t>
            </w:r>
            <w:r w:rsidRPr="00EA612D">
              <w:rPr>
                <w:rFonts w:ascii="Times New Roman" w:eastAsia="宋体" w:hAnsi="Times New Roman" w:cs="Times New Roman"/>
                <w:color w:val="000000" w:themeColor="text1"/>
                <w:sz w:val="16"/>
                <w:szCs w:val="16"/>
              </w:rPr>
              <w:t>年（含</w:t>
            </w:r>
            <w:r w:rsidRPr="00EA612D">
              <w:rPr>
                <w:rFonts w:ascii="Times New Roman" w:eastAsia="宋体" w:hAnsi="Times New Roman" w:cs="Times New Roman"/>
                <w:color w:val="000000" w:themeColor="text1"/>
                <w:sz w:val="16"/>
                <w:szCs w:val="16"/>
              </w:rPr>
              <w:t>5</w:t>
            </w:r>
            <w:r w:rsidRPr="00EA612D">
              <w:rPr>
                <w:rFonts w:ascii="Times New Roman" w:eastAsia="宋体" w:hAnsi="Times New Roman" w:cs="Times New Roman"/>
                <w:color w:val="000000" w:themeColor="text1"/>
                <w:sz w:val="16"/>
                <w:szCs w:val="16"/>
              </w:rPr>
              <w:t>年）</w:t>
            </w:r>
          </w:p>
        </w:tc>
        <w:tc>
          <w:tcPr>
            <w:tcW w:w="689" w:type="pct"/>
            <w:shd w:val="clear" w:color="auto" w:fill="auto"/>
            <w:vAlign w:val="center"/>
            <w:hideMark/>
          </w:tcPr>
          <w:p w:rsidR="00A35D1A" w:rsidRPr="00EA612D" w:rsidRDefault="00A35D1A" w:rsidP="00966BDE">
            <w:pPr>
              <w:jc w:val="right"/>
              <w:rPr>
                <w:rFonts w:ascii="Times New Roman" w:eastAsia="宋体" w:hAnsi="Times New Roman" w:cs="Times New Roman"/>
                <w:color w:val="000000" w:themeColor="text1"/>
                <w:sz w:val="16"/>
                <w:szCs w:val="16"/>
              </w:rPr>
            </w:pPr>
            <w:r w:rsidRPr="00EA612D">
              <w:rPr>
                <w:rFonts w:ascii="Times New Roman" w:hAnsi="Times New Roman" w:cs="Times New Roman"/>
                <w:color w:val="000000" w:themeColor="text1"/>
                <w:sz w:val="16"/>
                <w:szCs w:val="16"/>
              </w:rPr>
              <w:t>13,767.</w:t>
            </w:r>
            <w:r w:rsidR="00966BDE" w:rsidRPr="00EA612D">
              <w:rPr>
                <w:rFonts w:ascii="Times New Roman" w:hAnsi="Times New Roman" w:cs="Times New Roman"/>
                <w:color w:val="000000" w:themeColor="text1"/>
                <w:sz w:val="16"/>
                <w:szCs w:val="16"/>
              </w:rPr>
              <w:t>20</w:t>
            </w:r>
          </w:p>
        </w:tc>
        <w:tc>
          <w:tcPr>
            <w:tcW w:w="689" w:type="pct"/>
            <w:shd w:val="clear" w:color="auto" w:fill="auto"/>
            <w:vAlign w:val="center"/>
            <w:hideMark/>
          </w:tcPr>
          <w:p w:rsidR="00A35D1A" w:rsidRPr="00EA612D" w:rsidRDefault="00A35D1A" w:rsidP="00A35D1A">
            <w:pPr>
              <w:jc w:val="right"/>
              <w:rPr>
                <w:rFonts w:ascii="Times New Roman" w:eastAsia="宋体" w:hAnsi="Times New Roman" w:cs="Times New Roman"/>
                <w:color w:val="000000" w:themeColor="text1"/>
                <w:sz w:val="16"/>
                <w:szCs w:val="16"/>
              </w:rPr>
            </w:pPr>
            <w:r w:rsidRPr="00EA612D">
              <w:rPr>
                <w:rFonts w:ascii="Times New Roman" w:hAnsi="Times New Roman" w:cs="Times New Roman"/>
                <w:color w:val="000000" w:themeColor="text1"/>
                <w:sz w:val="16"/>
                <w:szCs w:val="16"/>
              </w:rPr>
              <w:t>6,883.60</w:t>
            </w:r>
          </w:p>
        </w:tc>
        <w:tc>
          <w:tcPr>
            <w:tcW w:w="458" w:type="pct"/>
            <w:shd w:val="clear" w:color="auto" w:fill="auto"/>
            <w:vAlign w:val="center"/>
            <w:hideMark/>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50.00</w:t>
            </w:r>
          </w:p>
        </w:tc>
        <w:tc>
          <w:tcPr>
            <w:tcW w:w="689" w:type="pct"/>
            <w:shd w:val="clear" w:color="auto" w:fill="auto"/>
            <w:vAlign w:val="center"/>
            <w:hideMark/>
          </w:tcPr>
          <w:p w:rsidR="00A35D1A" w:rsidRPr="00EA612D" w:rsidRDefault="00A35D1A" w:rsidP="00A35D1A">
            <w:pPr>
              <w:jc w:val="right"/>
              <w:rPr>
                <w:rFonts w:ascii="Times New Roman" w:eastAsia="宋体" w:hAnsi="Times New Roman" w:cs="Times New Roman"/>
                <w:color w:val="000000" w:themeColor="text1"/>
                <w:sz w:val="16"/>
                <w:szCs w:val="16"/>
              </w:rPr>
            </w:pPr>
            <w:r w:rsidRPr="00EA612D">
              <w:rPr>
                <w:rFonts w:ascii="Times New Roman" w:hAnsi="Times New Roman" w:cs="Times New Roman"/>
                <w:color w:val="000000" w:themeColor="text1"/>
                <w:sz w:val="16"/>
                <w:szCs w:val="16"/>
              </w:rPr>
              <w:t>8,696.38</w:t>
            </w:r>
          </w:p>
        </w:tc>
        <w:tc>
          <w:tcPr>
            <w:tcW w:w="705" w:type="pct"/>
            <w:shd w:val="clear" w:color="auto" w:fill="auto"/>
            <w:vAlign w:val="center"/>
            <w:hideMark/>
          </w:tcPr>
          <w:p w:rsidR="00A35D1A" w:rsidRPr="00EA612D" w:rsidRDefault="00A35D1A" w:rsidP="00A35D1A">
            <w:pPr>
              <w:jc w:val="right"/>
              <w:rPr>
                <w:rFonts w:ascii="Times New Roman" w:eastAsia="宋体" w:hAnsi="Times New Roman" w:cs="Times New Roman"/>
                <w:color w:val="000000" w:themeColor="text1"/>
                <w:sz w:val="16"/>
                <w:szCs w:val="16"/>
              </w:rPr>
            </w:pPr>
            <w:r w:rsidRPr="00EA612D">
              <w:rPr>
                <w:rFonts w:ascii="Times New Roman" w:hAnsi="Times New Roman" w:cs="Times New Roman"/>
                <w:color w:val="000000" w:themeColor="text1"/>
                <w:sz w:val="16"/>
                <w:szCs w:val="16"/>
              </w:rPr>
              <w:t>4,348.19</w:t>
            </w:r>
          </w:p>
        </w:tc>
        <w:tc>
          <w:tcPr>
            <w:tcW w:w="450" w:type="pct"/>
            <w:shd w:val="clear" w:color="auto" w:fill="auto"/>
            <w:vAlign w:val="center"/>
            <w:hideMark/>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50.00</w:t>
            </w:r>
          </w:p>
        </w:tc>
      </w:tr>
      <w:tr w:rsidR="00835FFC" w:rsidRPr="00EA612D" w:rsidTr="00A35D1A">
        <w:trPr>
          <w:trHeight w:val="297"/>
        </w:trPr>
        <w:tc>
          <w:tcPr>
            <w:tcW w:w="1320" w:type="pct"/>
            <w:vAlign w:val="center"/>
          </w:tcPr>
          <w:p w:rsidR="00A35D1A" w:rsidRPr="00EA612D" w:rsidRDefault="00A35D1A" w:rsidP="00A35D1A">
            <w:pPr>
              <w:adjustRightInd w:val="0"/>
              <w:snapToGrid w:val="0"/>
              <w:spacing w:line="200" w:lineRule="atLeas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5</w:t>
            </w:r>
            <w:r w:rsidRPr="00EA612D">
              <w:rPr>
                <w:rFonts w:ascii="Times New Roman" w:eastAsia="宋体" w:hAnsi="Times New Roman" w:cs="Times New Roman"/>
                <w:color w:val="000000" w:themeColor="text1"/>
                <w:sz w:val="16"/>
                <w:szCs w:val="16"/>
              </w:rPr>
              <w:t>年以上</w:t>
            </w:r>
          </w:p>
        </w:tc>
        <w:tc>
          <w:tcPr>
            <w:tcW w:w="689" w:type="pct"/>
            <w:shd w:val="clear" w:color="auto" w:fill="auto"/>
            <w:vAlign w:val="center"/>
          </w:tcPr>
          <w:p w:rsidR="00A35D1A" w:rsidRPr="00EA612D" w:rsidRDefault="00A35D1A" w:rsidP="00A35D1A">
            <w:pPr>
              <w:jc w:val="right"/>
              <w:rPr>
                <w:rFonts w:ascii="Times New Roman" w:eastAsia="宋体" w:hAnsi="Times New Roman" w:cs="Times New Roman"/>
                <w:color w:val="000000" w:themeColor="text1"/>
                <w:sz w:val="16"/>
                <w:szCs w:val="16"/>
              </w:rPr>
            </w:pPr>
            <w:r w:rsidRPr="00EA612D">
              <w:rPr>
                <w:rFonts w:ascii="Times New Roman" w:hAnsi="Times New Roman" w:cs="Times New Roman"/>
                <w:color w:val="000000" w:themeColor="text1"/>
                <w:sz w:val="16"/>
                <w:szCs w:val="16"/>
              </w:rPr>
              <w:t>35,398.08</w:t>
            </w:r>
          </w:p>
        </w:tc>
        <w:tc>
          <w:tcPr>
            <w:tcW w:w="689" w:type="pct"/>
            <w:shd w:val="clear" w:color="auto" w:fill="auto"/>
            <w:vAlign w:val="center"/>
          </w:tcPr>
          <w:p w:rsidR="00A35D1A" w:rsidRPr="00EA612D" w:rsidRDefault="00A35D1A" w:rsidP="00A35D1A">
            <w:pPr>
              <w:jc w:val="right"/>
              <w:rPr>
                <w:rFonts w:ascii="Times New Roman" w:eastAsia="宋体" w:hAnsi="Times New Roman" w:cs="Times New Roman"/>
                <w:color w:val="000000" w:themeColor="text1"/>
                <w:sz w:val="16"/>
                <w:szCs w:val="16"/>
              </w:rPr>
            </w:pPr>
            <w:r w:rsidRPr="00EA612D">
              <w:rPr>
                <w:rFonts w:ascii="Times New Roman" w:hAnsi="Times New Roman" w:cs="Times New Roman"/>
                <w:color w:val="000000" w:themeColor="text1"/>
                <w:sz w:val="16"/>
                <w:szCs w:val="16"/>
              </w:rPr>
              <w:t>35,398.08</w:t>
            </w:r>
          </w:p>
        </w:tc>
        <w:tc>
          <w:tcPr>
            <w:tcW w:w="458" w:type="pct"/>
            <w:shd w:val="clear" w:color="auto" w:fill="auto"/>
            <w:vAlign w:val="center"/>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100.00</w:t>
            </w:r>
          </w:p>
        </w:tc>
        <w:tc>
          <w:tcPr>
            <w:tcW w:w="689" w:type="pct"/>
            <w:shd w:val="clear" w:color="auto" w:fill="auto"/>
            <w:vAlign w:val="center"/>
          </w:tcPr>
          <w:p w:rsidR="00A35D1A" w:rsidRPr="00EA612D" w:rsidRDefault="00A35D1A" w:rsidP="00A35D1A">
            <w:pPr>
              <w:jc w:val="right"/>
              <w:rPr>
                <w:rFonts w:ascii="Times New Roman" w:eastAsia="宋体" w:hAnsi="Times New Roman" w:cs="Times New Roman"/>
                <w:color w:val="000000" w:themeColor="text1"/>
                <w:sz w:val="16"/>
                <w:szCs w:val="16"/>
              </w:rPr>
            </w:pPr>
            <w:r w:rsidRPr="00EA612D">
              <w:rPr>
                <w:rFonts w:ascii="Times New Roman" w:hAnsi="Times New Roman" w:cs="Times New Roman"/>
                <w:color w:val="000000" w:themeColor="text1"/>
                <w:sz w:val="16"/>
                <w:szCs w:val="16"/>
              </w:rPr>
              <w:t>30,426.86</w:t>
            </w:r>
          </w:p>
        </w:tc>
        <w:tc>
          <w:tcPr>
            <w:tcW w:w="705" w:type="pct"/>
            <w:shd w:val="clear" w:color="auto" w:fill="auto"/>
            <w:vAlign w:val="center"/>
          </w:tcPr>
          <w:p w:rsidR="00A35D1A" w:rsidRPr="00EA612D" w:rsidRDefault="00A35D1A" w:rsidP="00A35D1A">
            <w:pPr>
              <w:jc w:val="right"/>
              <w:rPr>
                <w:rFonts w:ascii="Times New Roman" w:eastAsia="宋体" w:hAnsi="Times New Roman" w:cs="Times New Roman"/>
                <w:color w:val="000000" w:themeColor="text1"/>
                <w:sz w:val="16"/>
                <w:szCs w:val="16"/>
              </w:rPr>
            </w:pPr>
            <w:r w:rsidRPr="00EA612D">
              <w:rPr>
                <w:rFonts w:ascii="Times New Roman" w:hAnsi="Times New Roman" w:cs="Times New Roman"/>
                <w:color w:val="000000" w:themeColor="text1"/>
                <w:sz w:val="16"/>
                <w:szCs w:val="16"/>
              </w:rPr>
              <w:t>30,426.86</w:t>
            </w:r>
          </w:p>
        </w:tc>
        <w:tc>
          <w:tcPr>
            <w:tcW w:w="450" w:type="pct"/>
            <w:shd w:val="clear" w:color="auto" w:fill="auto"/>
            <w:vAlign w:val="center"/>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100.00</w:t>
            </w:r>
          </w:p>
        </w:tc>
      </w:tr>
      <w:tr w:rsidR="00835FFC" w:rsidRPr="00EA612D" w:rsidTr="00A35D1A">
        <w:trPr>
          <w:trHeight w:val="279"/>
        </w:trPr>
        <w:tc>
          <w:tcPr>
            <w:tcW w:w="1320" w:type="pct"/>
            <w:shd w:val="clear" w:color="auto" w:fill="auto"/>
            <w:vAlign w:val="bottom"/>
            <w:hideMark/>
          </w:tcPr>
          <w:p w:rsidR="00A35D1A" w:rsidRPr="00EA612D" w:rsidRDefault="00A35D1A" w:rsidP="00A35D1A">
            <w:pP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合计</w:t>
            </w:r>
          </w:p>
        </w:tc>
        <w:tc>
          <w:tcPr>
            <w:tcW w:w="689" w:type="pct"/>
            <w:shd w:val="clear" w:color="auto" w:fill="auto"/>
            <w:vAlign w:val="center"/>
            <w:hideMark/>
          </w:tcPr>
          <w:p w:rsidR="00A35D1A" w:rsidRPr="00EA612D" w:rsidRDefault="00A35D1A" w:rsidP="00A35D1A">
            <w:pPr>
              <w:jc w:val="right"/>
              <w:rPr>
                <w:rFonts w:ascii="Times New Roman" w:eastAsia="宋体" w:hAnsi="Times New Roman" w:cs="Times New Roman"/>
                <w:color w:val="000000" w:themeColor="text1"/>
                <w:sz w:val="16"/>
                <w:szCs w:val="16"/>
              </w:rPr>
            </w:pPr>
            <w:r w:rsidRPr="00EA612D">
              <w:rPr>
                <w:rFonts w:ascii="Times New Roman" w:hAnsi="Times New Roman" w:cs="Times New Roman"/>
                <w:color w:val="000000" w:themeColor="text1"/>
                <w:sz w:val="16"/>
                <w:szCs w:val="16"/>
              </w:rPr>
              <w:t>254,354.14</w:t>
            </w:r>
          </w:p>
        </w:tc>
        <w:tc>
          <w:tcPr>
            <w:tcW w:w="689" w:type="pct"/>
            <w:shd w:val="clear" w:color="auto" w:fill="auto"/>
            <w:vAlign w:val="center"/>
            <w:hideMark/>
          </w:tcPr>
          <w:p w:rsidR="00A35D1A" w:rsidRPr="00EA612D" w:rsidRDefault="00A35D1A" w:rsidP="00A35D1A">
            <w:pPr>
              <w:jc w:val="right"/>
              <w:rPr>
                <w:rFonts w:ascii="Times New Roman" w:eastAsia="宋体" w:hAnsi="Times New Roman" w:cs="Times New Roman"/>
                <w:color w:val="000000" w:themeColor="text1"/>
                <w:sz w:val="16"/>
                <w:szCs w:val="16"/>
              </w:rPr>
            </w:pPr>
            <w:r w:rsidRPr="00EA612D">
              <w:rPr>
                <w:rFonts w:ascii="Times New Roman" w:hAnsi="Times New Roman" w:cs="Times New Roman"/>
                <w:color w:val="000000" w:themeColor="text1"/>
                <w:sz w:val="16"/>
                <w:szCs w:val="16"/>
              </w:rPr>
              <w:t>51,640.81</w:t>
            </w:r>
          </w:p>
        </w:tc>
        <w:tc>
          <w:tcPr>
            <w:tcW w:w="458" w:type="pct"/>
            <w:shd w:val="clear" w:color="auto" w:fill="auto"/>
            <w:vAlign w:val="center"/>
            <w:hideMark/>
          </w:tcPr>
          <w:p w:rsidR="00A35D1A" w:rsidRPr="00EA612D" w:rsidRDefault="00A35D1A" w:rsidP="00A35D1A">
            <w:pPr>
              <w:jc w:val="right"/>
              <w:rPr>
                <w:rFonts w:ascii="Times New Roman" w:eastAsia="宋体" w:hAnsi="Times New Roman" w:cs="Times New Roman"/>
                <w:color w:val="000000" w:themeColor="text1"/>
                <w:sz w:val="16"/>
                <w:szCs w:val="16"/>
              </w:rPr>
            </w:pPr>
          </w:p>
        </w:tc>
        <w:tc>
          <w:tcPr>
            <w:tcW w:w="689" w:type="pct"/>
            <w:shd w:val="clear" w:color="auto" w:fill="auto"/>
            <w:vAlign w:val="center"/>
            <w:hideMark/>
          </w:tcPr>
          <w:p w:rsidR="00A35D1A" w:rsidRPr="00EA612D" w:rsidRDefault="00A35D1A" w:rsidP="00A35D1A">
            <w:pPr>
              <w:jc w:val="right"/>
              <w:rPr>
                <w:rFonts w:ascii="Times New Roman" w:eastAsia="宋体" w:hAnsi="Times New Roman" w:cs="Times New Roman"/>
                <w:color w:val="000000" w:themeColor="text1"/>
                <w:sz w:val="16"/>
                <w:szCs w:val="16"/>
              </w:rPr>
            </w:pPr>
            <w:r w:rsidRPr="00EA612D">
              <w:rPr>
                <w:rFonts w:ascii="Times New Roman" w:hAnsi="Times New Roman" w:cs="Times New Roman"/>
                <w:color w:val="000000" w:themeColor="text1"/>
                <w:sz w:val="16"/>
                <w:szCs w:val="16"/>
              </w:rPr>
              <w:t>345,385.92</w:t>
            </w:r>
          </w:p>
        </w:tc>
        <w:tc>
          <w:tcPr>
            <w:tcW w:w="705" w:type="pct"/>
            <w:shd w:val="clear" w:color="auto" w:fill="auto"/>
            <w:vAlign w:val="center"/>
            <w:hideMark/>
          </w:tcPr>
          <w:p w:rsidR="00A35D1A" w:rsidRPr="00EA612D" w:rsidRDefault="00A35D1A" w:rsidP="00A35D1A">
            <w:pPr>
              <w:jc w:val="right"/>
              <w:rPr>
                <w:rFonts w:ascii="Times New Roman" w:eastAsia="宋体" w:hAnsi="Times New Roman" w:cs="Times New Roman"/>
                <w:color w:val="000000" w:themeColor="text1"/>
                <w:sz w:val="16"/>
                <w:szCs w:val="16"/>
              </w:rPr>
            </w:pPr>
            <w:r w:rsidRPr="00EA612D">
              <w:rPr>
                <w:rFonts w:ascii="Times New Roman" w:hAnsi="Times New Roman" w:cs="Times New Roman"/>
                <w:color w:val="000000" w:themeColor="text1"/>
                <w:sz w:val="16"/>
                <w:szCs w:val="16"/>
              </w:rPr>
              <w:t>48,474.28</w:t>
            </w:r>
          </w:p>
        </w:tc>
        <w:tc>
          <w:tcPr>
            <w:tcW w:w="450" w:type="pct"/>
            <w:shd w:val="clear" w:color="auto" w:fill="auto"/>
            <w:vAlign w:val="center"/>
            <w:hideMark/>
          </w:tcPr>
          <w:p w:rsidR="00A35D1A" w:rsidRPr="00EA612D" w:rsidRDefault="00A35D1A" w:rsidP="00A35D1A">
            <w:pPr>
              <w:jc w:val="center"/>
              <w:rPr>
                <w:rFonts w:ascii="Times New Roman" w:eastAsia="宋体" w:hAnsi="Times New Roman" w:cs="Times New Roman"/>
                <w:color w:val="000000" w:themeColor="text1"/>
                <w:sz w:val="16"/>
                <w:szCs w:val="16"/>
              </w:rPr>
            </w:pPr>
          </w:p>
        </w:tc>
      </w:tr>
    </w:tbl>
    <w:p w:rsidR="00773990" w:rsidRPr="00EA612D" w:rsidRDefault="00A35D1A" w:rsidP="00F663C7">
      <w:pPr>
        <w:spacing w:beforeLines="50" w:before="156" w:afterLines="50" w:after="156" w:line="360" w:lineRule="auto"/>
        <w:ind w:leftChars="50" w:left="105" w:rightChars="50" w:right="105" w:firstLineChars="200" w:firstLine="480"/>
        <w:rPr>
          <w:rStyle w:val="a5"/>
          <w:rFonts w:asciiTheme="minorEastAsia" w:hAnsiTheme="minorEastAsia" w:cs="Times New Roman"/>
          <w:b w:val="0"/>
          <w:color w:val="000000" w:themeColor="text1"/>
          <w:sz w:val="24"/>
          <w:szCs w:val="24"/>
        </w:rPr>
      </w:pPr>
      <w:r w:rsidRPr="00EA612D">
        <w:rPr>
          <w:rStyle w:val="a5"/>
          <w:rFonts w:asciiTheme="minorEastAsia" w:hAnsiTheme="minorEastAsia" w:cs="Times New Roman"/>
          <w:b w:val="0"/>
          <w:color w:val="000000" w:themeColor="text1"/>
          <w:sz w:val="24"/>
          <w:szCs w:val="24"/>
        </w:rPr>
        <w:t>从上表可以看出，2016年末公司按照账龄计提坏账准备</w:t>
      </w:r>
      <w:r w:rsidR="00806152" w:rsidRPr="00EA612D">
        <w:rPr>
          <w:rStyle w:val="a5"/>
          <w:rFonts w:asciiTheme="minorEastAsia" w:hAnsiTheme="minorEastAsia" w:cs="Times New Roman" w:hint="eastAsia"/>
          <w:b w:val="0"/>
          <w:color w:val="000000" w:themeColor="text1"/>
          <w:sz w:val="24"/>
          <w:szCs w:val="24"/>
        </w:rPr>
        <w:t>的</w:t>
      </w:r>
      <w:r w:rsidRPr="00EA612D">
        <w:rPr>
          <w:rStyle w:val="a5"/>
          <w:rFonts w:asciiTheme="minorEastAsia" w:hAnsiTheme="minorEastAsia" w:cs="Times New Roman"/>
          <w:b w:val="0"/>
          <w:color w:val="000000" w:themeColor="text1"/>
          <w:sz w:val="24"/>
          <w:szCs w:val="24"/>
        </w:rPr>
        <w:t>应收账款余额较年初下降</w:t>
      </w:r>
      <w:r w:rsidR="006C3871" w:rsidRPr="00EA612D">
        <w:rPr>
          <w:rStyle w:val="a5"/>
          <w:rFonts w:asciiTheme="minorEastAsia" w:hAnsiTheme="minorEastAsia" w:cs="Times New Roman"/>
          <w:b w:val="0"/>
          <w:color w:val="000000" w:themeColor="text1"/>
          <w:sz w:val="24"/>
          <w:szCs w:val="24"/>
        </w:rPr>
        <w:t>91,031.78</w:t>
      </w:r>
      <w:r w:rsidRPr="00EA612D">
        <w:rPr>
          <w:rStyle w:val="a5"/>
          <w:rFonts w:asciiTheme="minorEastAsia" w:hAnsiTheme="minorEastAsia" w:cs="Times New Roman"/>
          <w:b w:val="0"/>
          <w:color w:val="000000" w:themeColor="text1"/>
          <w:sz w:val="24"/>
          <w:szCs w:val="24"/>
        </w:rPr>
        <w:t>万元，但由于账龄滚动影响，4年以上的应收账款增加，导致按照账龄分析法</w:t>
      </w:r>
      <w:r w:rsidR="00806152" w:rsidRPr="00EA612D">
        <w:rPr>
          <w:rStyle w:val="a5"/>
          <w:rFonts w:asciiTheme="minorEastAsia" w:hAnsiTheme="minorEastAsia" w:cs="Times New Roman" w:hint="eastAsia"/>
          <w:b w:val="0"/>
          <w:color w:val="000000" w:themeColor="text1"/>
          <w:sz w:val="24"/>
          <w:szCs w:val="24"/>
        </w:rPr>
        <w:t>计提的</w:t>
      </w:r>
      <w:r w:rsidRPr="00EA612D">
        <w:rPr>
          <w:rStyle w:val="a5"/>
          <w:rFonts w:asciiTheme="minorEastAsia" w:hAnsiTheme="minorEastAsia" w:cs="Times New Roman"/>
          <w:b w:val="0"/>
          <w:color w:val="000000" w:themeColor="text1"/>
          <w:sz w:val="24"/>
          <w:szCs w:val="24"/>
        </w:rPr>
        <w:t>坏账准备增加。</w:t>
      </w:r>
    </w:p>
    <w:p w:rsidR="00A35D1A" w:rsidRPr="00EA612D" w:rsidRDefault="00773990" w:rsidP="00F663C7">
      <w:pPr>
        <w:spacing w:beforeLines="50" w:before="156" w:afterLines="50" w:after="156" w:line="360" w:lineRule="auto"/>
        <w:ind w:leftChars="50" w:left="105" w:rightChars="50" w:right="105" w:firstLineChars="200" w:firstLine="480"/>
        <w:rPr>
          <w:rStyle w:val="a5"/>
          <w:rFonts w:asciiTheme="minorEastAsia" w:hAnsiTheme="minorEastAsia" w:cs="Times New Roman"/>
          <w:b w:val="0"/>
          <w:color w:val="000000" w:themeColor="text1"/>
          <w:sz w:val="24"/>
          <w:szCs w:val="24"/>
        </w:rPr>
      </w:pPr>
      <w:r w:rsidRPr="00EA612D">
        <w:rPr>
          <w:rStyle w:val="a5"/>
          <w:rFonts w:asciiTheme="minorEastAsia" w:hAnsiTheme="minorEastAsia" w:cs="宋体" w:hint="eastAsia"/>
          <w:b w:val="0"/>
          <w:color w:val="000000" w:themeColor="text1"/>
          <w:sz w:val="24"/>
          <w:szCs w:val="24"/>
        </w:rPr>
        <w:t>②</w:t>
      </w:r>
      <w:r w:rsidR="00A35D1A" w:rsidRPr="00EA612D">
        <w:rPr>
          <w:rStyle w:val="a5"/>
          <w:rFonts w:asciiTheme="minorEastAsia" w:hAnsiTheme="minorEastAsia" w:cs="Times New Roman"/>
          <w:b w:val="0"/>
          <w:color w:val="000000" w:themeColor="text1"/>
          <w:sz w:val="24"/>
          <w:szCs w:val="24"/>
        </w:rPr>
        <w:t>单项认定应收账款坏账准备增加</w:t>
      </w:r>
      <w:r w:rsidR="006C3871" w:rsidRPr="00EA612D">
        <w:rPr>
          <w:rStyle w:val="a5"/>
          <w:rFonts w:asciiTheme="minorEastAsia" w:hAnsiTheme="minorEastAsia" w:cs="Times New Roman"/>
          <w:b w:val="0"/>
          <w:color w:val="000000" w:themeColor="text1"/>
          <w:sz w:val="24"/>
          <w:szCs w:val="24"/>
        </w:rPr>
        <w:t>28,951.7</w:t>
      </w:r>
      <w:r w:rsidR="00806152" w:rsidRPr="00EA612D">
        <w:rPr>
          <w:rStyle w:val="a5"/>
          <w:rFonts w:asciiTheme="minorEastAsia" w:hAnsiTheme="minorEastAsia" w:cs="Times New Roman" w:hint="eastAsia"/>
          <w:b w:val="0"/>
          <w:color w:val="000000" w:themeColor="text1"/>
          <w:sz w:val="24"/>
          <w:szCs w:val="24"/>
        </w:rPr>
        <w:t>5</w:t>
      </w:r>
      <w:r w:rsidR="006C3871" w:rsidRPr="00EA612D">
        <w:rPr>
          <w:rStyle w:val="a5"/>
          <w:rFonts w:asciiTheme="minorEastAsia" w:hAnsiTheme="minorEastAsia" w:cs="Times New Roman"/>
          <w:b w:val="0"/>
          <w:color w:val="000000" w:themeColor="text1"/>
          <w:sz w:val="24"/>
          <w:szCs w:val="24"/>
        </w:rPr>
        <w:t>万</w:t>
      </w:r>
      <w:r w:rsidR="00A35D1A" w:rsidRPr="00EA612D">
        <w:rPr>
          <w:rStyle w:val="a5"/>
          <w:rFonts w:asciiTheme="minorEastAsia" w:hAnsiTheme="minorEastAsia" w:cs="Times New Roman"/>
          <w:b w:val="0"/>
          <w:color w:val="000000" w:themeColor="text1"/>
          <w:sz w:val="24"/>
          <w:szCs w:val="24"/>
        </w:rPr>
        <w:t>元。其中大额情况如下：</w:t>
      </w:r>
    </w:p>
    <w:p w:rsidR="00A35D1A" w:rsidRPr="00EA612D" w:rsidRDefault="00A35D1A" w:rsidP="00A35D1A">
      <w:pPr>
        <w:jc w:val="right"/>
        <w:rPr>
          <w:rStyle w:val="a5"/>
          <w:rFonts w:ascii="Times New Roman" w:hAnsi="Times New Roman" w:cs="Times New Roman"/>
          <w:b w:val="0"/>
          <w:color w:val="000000" w:themeColor="text1"/>
          <w:szCs w:val="21"/>
        </w:rPr>
      </w:pPr>
      <w:r w:rsidRPr="00EA612D">
        <w:rPr>
          <w:rStyle w:val="a5"/>
          <w:rFonts w:ascii="Times New Roman" w:hAnsi="Times New Roman" w:cs="Times New Roman"/>
          <w:b w:val="0"/>
          <w:color w:val="000000" w:themeColor="text1"/>
          <w:szCs w:val="21"/>
        </w:rPr>
        <w:t>单位：人民币万元</w:t>
      </w:r>
    </w:p>
    <w:tbl>
      <w:tblPr>
        <w:tblW w:w="5000" w:type="pct"/>
        <w:tblBorders>
          <w:top w:val="single" w:sz="12" w:space="0" w:color="auto"/>
          <w:bottom w:val="single" w:sz="12" w:space="0" w:color="auto"/>
          <w:insideH w:val="dotted" w:sz="4" w:space="0" w:color="auto"/>
          <w:insideV w:val="dotted" w:sz="4" w:space="0" w:color="auto"/>
        </w:tblBorders>
        <w:tblLook w:val="04A0" w:firstRow="1" w:lastRow="0" w:firstColumn="1" w:lastColumn="0" w:noHBand="0" w:noVBand="1"/>
      </w:tblPr>
      <w:tblGrid>
        <w:gridCol w:w="1515"/>
        <w:gridCol w:w="1296"/>
        <w:gridCol w:w="1303"/>
        <w:gridCol w:w="1356"/>
        <w:gridCol w:w="847"/>
        <w:gridCol w:w="1251"/>
        <w:gridCol w:w="954"/>
      </w:tblGrid>
      <w:tr w:rsidR="00835FFC" w:rsidRPr="00EA612D" w:rsidTr="00A35D1A">
        <w:trPr>
          <w:trHeight w:val="270"/>
        </w:trPr>
        <w:tc>
          <w:tcPr>
            <w:tcW w:w="931" w:type="pct"/>
            <w:vMerge w:val="restart"/>
            <w:shd w:val="clear" w:color="auto" w:fill="auto"/>
            <w:vAlign w:val="center"/>
            <w:hideMark/>
          </w:tcPr>
          <w:p w:rsidR="00A35D1A" w:rsidRPr="00EA612D" w:rsidRDefault="00A35D1A" w:rsidP="00A35D1A">
            <w:pPr>
              <w:snapToGrid w:val="0"/>
              <w:spacing w:line="200" w:lineRule="atLeast"/>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客户名称</w:t>
            </w:r>
          </w:p>
        </w:tc>
        <w:tc>
          <w:tcPr>
            <w:tcW w:w="507" w:type="pct"/>
            <w:vMerge w:val="restart"/>
            <w:vAlign w:val="center"/>
          </w:tcPr>
          <w:p w:rsidR="00A35D1A" w:rsidRPr="00EA612D" w:rsidRDefault="00A35D1A" w:rsidP="00A35D1A">
            <w:pPr>
              <w:snapToGrid w:val="0"/>
              <w:spacing w:line="200" w:lineRule="atLeast"/>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原因</w:t>
            </w:r>
          </w:p>
        </w:tc>
        <w:tc>
          <w:tcPr>
            <w:tcW w:w="807" w:type="pct"/>
            <w:vMerge w:val="restart"/>
            <w:vAlign w:val="center"/>
          </w:tcPr>
          <w:p w:rsidR="00A35D1A" w:rsidRPr="00EA612D" w:rsidRDefault="00A35D1A" w:rsidP="00A35D1A">
            <w:pPr>
              <w:snapToGrid w:val="0"/>
              <w:spacing w:line="200" w:lineRule="atLeast"/>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2016</w:t>
            </w:r>
            <w:r w:rsidRPr="00EA612D">
              <w:rPr>
                <w:rFonts w:ascii="Times New Roman" w:hAnsi="Times New Roman" w:cs="Times New Roman"/>
                <w:color w:val="000000" w:themeColor="text1"/>
                <w:sz w:val="16"/>
                <w:szCs w:val="16"/>
              </w:rPr>
              <w:t>年当期计提金额</w:t>
            </w:r>
          </w:p>
        </w:tc>
        <w:tc>
          <w:tcPr>
            <w:tcW w:w="2755" w:type="pct"/>
            <w:gridSpan w:val="4"/>
            <w:shd w:val="clear" w:color="auto" w:fill="auto"/>
            <w:vAlign w:val="center"/>
            <w:hideMark/>
          </w:tcPr>
          <w:p w:rsidR="00A35D1A" w:rsidRPr="00EA612D" w:rsidRDefault="00A35D1A" w:rsidP="00A35D1A">
            <w:pPr>
              <w:snapToGrid w:val="0"/>
              <w:spacing w:line="200" w:lineRule="atLeast"/>
              <w:jc w:val="center"/>
              <w:rPr>
                <w:rFonts w:ascii="Times New Roman" w:hAnsi="Times New Roman" w:cs="Times New Roman"/>
                <w:color w:val="000000" w:themeColor="text1"/>
                <w:sz w:val="16"/>
                <w:szCs w:val="16"/>
              </w:rPr>
            </w:pPr>
            <w:r w:rsidRPr="00EA612D">
              <w:rPr>
                <w:rFonts w:ascii="Times New Roman" w:eastAsia="宋体" w:hAnsi="Times New Roman" w:cs="Times New Roman"/>
                <w:color w:val="000000" w:themeColor="text1"/>
                <w:sz w:val="14"/>
                <w:szCs w:val="16"/>
              </w:rPr>
              <w:t>期末</w:t>
            </w:r>
          </w:p>
        </w:tc>
      </w:tr>
      <w:tr w:rsidR="00835FFC" w:rsidRPr="00EA612D" w:rsidTr="00A35D1A">
        <w:trPr>
          <w:trHeight w:val="510"/>
        </w:trPr>
        <w:tc>
          <w:tcPr>
            <w:tcW w:w="931" w:type="pct"/>
            <w:vMerge/>
            <w:vAlign w:val="center"/>
            <w:hideMark/>
          </w:tcPr>
          <w:p w:rsidR="00A35D1A" w:rsidRPr="00EA612D" w:rsidRDefault="00A35D1A" w:rsidP="00A35D1A">
            <w:pPr>
              <w:snapToGrid w:val="0"/>
              <w:spacing w:line="200" w:lineRule="atLeast"/>
              <w:jc w:val="center"/>
              <w:rPr>
                <w:rFonts w:ascii="Times New Roman" w:hAnsi="Times New Roman" w:cs="Times New Roman"/>
                <w:color w:val="000000" w:themeColor="text1"/>
                <w:sz w:val="16"/>
                <w:szCs w:val="16"/>
              </w:rPr>
            </w:pPr>
          </w:p>
        </w:tc>
        <w:tc>
          <w:tcPr>
            <w:tcW w:w="507" w:type="pct"/>
            <w:vMerge/>
          </w:tcPr>
          <w:p w:rsidR="00A35D1A" w:rsidRPr="00EA612D" w:rsidRDefault="00A35D1A" w:rsidP="00A35D1A">
            <w:pPr>
              <w:snapToGrid w:val="0"/>
              <w:spacing w:line="200" w:lineRule="atLeast"/>
              <w:jc w:val="center"/>
              <w:rPr>
                <w:rFonts w:ascii="Times New Roman" w:hAnsi="Times New Roman" w:cs="Times New Roman"/>
                <w:color w:val="000000" w:themeColor="text1"/>
                <w:sz w:val="16"/>
                <w:szCs w:val="16"/>
              </w:rPr>
            </w:pPr>
          </w:p>
        </w:tc>
        <w:tc>
          <w:tcPr>
            <w:tcW w:w="807" w:type="pct"/>
            <w:vMerge/>
          </w:tcPr>
          <w:p w:rsidR="00A35D1A" w:rsidRPr="00EA612D" w:rsidRDefault="00A35D1A" w:rsidP="00A35D1A">
            <w:pPr>
              <w:snapToGrid w:val="0"/>
              <w:spacing w:line="200" w:lineRule="atLeast"/>
              <w:jc w:val="center"/>
              <w:rPr>
                <w:rFonts w:ascii="Times New Roman" w:hAnsi="Times New Roman" w:cs="Times New Roman"/>
                <w:color w:val="000000" w:themeColor="text1"/>
                <w:sz w:val="16"/>
                <w:szCs w:val="16"/>
              </w:rPr>
            </w:pPr>
          </w:p>
        </w:tc>
        <w:tc>
          <w:tcPr>
            <w:tcW w:w="838" w:type="pct"/>
            <w:shd w:val="clear" w:color="auto" w:fill="auto"/>
            <w:vAlign w:val="center"/>
            <w:hideMark/>
          </w:tcPr>
          <w:p w:rsidR="00A35D1A" w:rsidRPr="00EA612D" w:rsidRDefault="00A35D1A" w:rsidP="00A35D1A">
            <w:pPr>
              <w:snapToGrid w:val="0"/>
              <w:spacing w:line="200" w:lineRule="atLeast"/>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账款余额</w:t>
            </w:r>
          </w:p>
        </w:tc>
        <w:tc>
          <w:tcPr>
            <w:tcW w:w="539" w:type="pct"/>
            <w:shd w:val="clear" w:color="auto" w:fill="auto"/>
            <w:vAlign w:val="center"/>
          </w:tcPr>
          <w:p w:rsidR="00A35D1A" w:rsidRPr="00EA612D" w:rsidRDefault="00A35D1A" w:rsidP="00A35D1A">
            <w:pPr>
              <w:snapToGrid w:val="0"/>
              <w:spacing w:line="200" w:lineRule="atLeast"/>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账龄</w:t>
            </w:r>
          </w:p>
        </w:tc>
        <w:tc>
          <w:tcPr>
            <w:tcW w:w="776" w:type="pct"/>
            <w:shd w:val="clear" w:color="auto" w:fill="auto"/>
            <w:vAlign w:val="center"/>
            <w:hideMark/>
          </w:tcPr>
          <w:p w:rsidR="00A35D1A" w:rsidRPr="00EA612D" w:rsidRDefault="00A35D1A" w:rsidP="00A35D1A">
            <w:pPr>
              <w:snapToGrid w:val="0"/>
              <w:spacing w:line="200" w:lineRule="atLeast"/>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坏账准备</w:t>
            </w:r>
          </w:p>
        </w:tc>
        <w:tc>
          <w:tcPr>
            <w:tcW w:w="602" w:type="pct"/>
            <w:vAlign w:val="center"/>
          </w:tcPr>
          <w:p w:rsidR="00A35D1A" w:rsidRPr="00EA612D" w:rsidRDefault="00A35D1A" w:rsidP="00A35D1A">
            <w:pPr>
              <w:snapToGrid w:val="0"/>
              <w:spacing w:line="200" w:lineRule="atLeast"/>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坏账计提比例（</w:t>
            </w:r>
            <w:r w:rsidRPr="00EA612D">
              <w:rPr>
                <w:rFonts w:ascii="Times New Roman" w:hAnsi="Times New Roman" w:cs="Times New Roman"/>
                <w:color w:val="000000" w:themeColor="text1"/>
                <w:sz w:val="16"/>
                <w:szCs w:val="16"/>
              </w:rPr>
              <w:t>%</w:t>
            </w:r>
            <w:r w:rsidRPr="00EA612D">
              <w:rPr>
                <w:rFonts w:ascii="Times New Roman" w:hAnsi="Times New Roman" w:cs="Times New Roman"/>
                <w:color w:val="000000" w:themeColor="text1"/>
                <w:sz w:val="16"/>
                <w:szCs w:val="16"/>
              </w:rPr>
              <w:t>）</w:t>
            </w:r>
          </w:p>
        </w:tc>
      </w:tr>
      <w:tr w:rsidR="00835FFC" w:rsidRPr="00EA612D" w:rsidTr="00A35D1A">
        <w:trPr>
          <w:trHeight w:val="510"/>
        </w:trPr>
        <w:tc>
          <w:tcPr>
            <w:tcW w:w="931" w:type="pct"/>
            <w:vAlign w:val="center"/>
          </w:tcPr>
          <w:p w:rsidR="00A35D1A" w:rsidRPr="00EA612D" w:rsidRDefault="00A35D1A" w:rsidP="00A35D1A">
            <w:pPr>
              <w:snapToGrid w:val="0"/>
              <w:spacing w:line="200" w:lineRule="atLeast"/>
              <w:ind w:leftChars="-20" w:left="-42"/>
              <w:jc w:val="lef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陕西省西咸新区秦汉新城管理委员会</w:t>
            </w:r>
          </w:p>
        </w:tc>
        <w:tc>
          <w:tcPr>
            <w:tcW w:w="507" w:type="pct"/>
            <w:vAlign w:val="center"/>
          </w:tcPr>
          <w:p w:rsidR="00A35D1A" w:rsidRPr="00EA612D" w:rsidRDefault="00A35D1A" w:rsidP="00F13A53">
            <w:pPr>
              <w:pStyle w:val="a6"/>
              <w:numPr>
                <w:ilvl w:val="0"/>
                <w:numId w:val="18"/>
              </w:numPr>
              <w:ind w:firstLineChars="0"/>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 xml:space="preserve"> </w:t>
            </w:r>
          </w:p>
        </w:tc>
        <w:tc>
          <w:tcPr>
            <w:tcW w:w="807" w:type="pct"/>
            <w:vAlign w:val="center"/>
          </w:tcPr>
          <w:p w:rsidR="00A35D1A" w:rsidRPr="00EA612D" w:rsidRDefault="00A35D1A" w:rsidP="00773990">
            <w:pPr>
              <w:jc w:val="right"/>
              <w:rPr>
                <w:rFonts w:ascii="Times New Roman" w:eastAsia="宋体" w:hAnsi="Times New Roman" w:cs="Times New Roman"/>
                <w:color w:val="000000" w:themeColor="text1"/>
                <w:sz w:val="16"/>
                <w:szCs w:val="16"/>
              </w:rPr>
            </w:pPr>
            <w:r w:rsidRPr="00EA612D">
              <w:rPr>
                <w:rFonts w:ascii="Times New Roman" w:hAnsi="Times New Roman" w:cs="Times New Roman"/>
                <w:color w:val="000000" w:themeColor="text1"/>
                <w:sz w:val="16"/>
                <w:szCs w:val="16"/>
              </w:rPr>
              <w:t>9,303.88</w:t>
            </w:r>
          </w:p>
        </w:tc>
        <w:tc>
          <w:tcPr>
            <w:tcW w:w="838" w:type="pct"/>
            <w:shd w:val="clear" w:color="auto" w:fill="auto"/>
            <w:vAlign w:val="center"/>
          </w:tcPr>
          <w:p w:rsidR="00A35D1A" w:rsidRPr="00EA612D" w:rsidRDefault="00A35D1A" w:rsidP="00773990">
            <w:pPr>
              <w:jc w:val="right"/>
              <w:rPr>
                <w:rFonts w:ascii="Times New Roman" w:eastAsia="宋体" w:hAnsi="Times New Roman" w:cs="Times New Roman"/>
                <w:color w:val="000000" w:themeColor="text1"/>
                <w:sz w:val="16"/>
                <w:szCs w:val="16"/>
              </w:rPr>
            </w:pPr>
            <w:r w:rsidRPr="00EA612D">
              <w:rPr>
                <w:rFonts w:ascii="Times New Roman" w:hAnsi="Times New Roman" w:cs="Times New Roman"/>
                <w:color w:val="000000" w:themeColor="text1"/>
                <w:sz w:val="16"/>
                <w:szCs w:val="16"/>
              </w:rPr>
              <w:t>13,882.76</w:t>
            </w:r>
          </w:p>
        </w:tc>
        <w:tc>
          <w:tcPr>
            <w:tcW w:w="539" w:type="pct"/>
            <w:shd w:val="clear" w:color="auto" w:fill="auto"/>
            <w:vAlign w:val="center"/>
          </w:tcPr>
          <w:p w:rsidR="00A35D1A" w:rsidRPr="00EA612D" w:rsidRDefault="00A35D1A" w:rsidP="00A35D1A">
            <w:pPr>
              <w:jc w:val="center"/>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4-5</w:t>
            </w:r>
            <w:r w:rsidRPr="00EA612D">
              <w:rPr>
                <w:rFonts w:ascii="Times New Roman" w:eastAsia="宋体" w:hAnsi="Times New Roman" w:cs="Times New Roman"/>
                <w:color w:val="000000" w:themeColor="text1"/>
                <w:sz w:val="16"/>
                <w:szCs w:val="16"/>
              </w:rPr>
              <w:t>年</w:t>
            </w:r>
          </w:p>
        </w:tc>
        <w:tc>
          <w:tcPr>
            <w:tcW w:w="776" w:type="pct"/>
            <w:shd w:val="clear" w:color="auto" w:fill="auto"/>
            <w:vAlign w:val="center"/>
          </w:tcPr>
          <w:p w:rsidR="00A35D1A" w:rsidRPr="00EA612D" w:rsidRDefault="00A35D1A" w:rsidP="00773990">
            <w:pPr>
              <w:jc w:val="right"/>
              <w:rPr>
                <w:rFonts w:ascii="Times New Roman" w:eastAsia="宋体" w:hAnsi="Times New Roman" w:cs="Times New Roman"/>
                <w:color w:val="000000" w:themeColor="text1"/>
                <w:sz w:val="16"/>
                <w:szCs w:val="16"/>
              </w:rPr>
            </w:pPr>
            <w:r w:rsidRPr="00EA612D">
              <w:rPr>
                <w:rFonts w:ascii="Times New Roman" w:hAnsi="Times New Roman" w:cs="Times New Roman"/>
                <w:color w:val="000000" w:themeColor="text1"/>
                <w:sz w:val="16"/>
                <w:szCs w:val="16"/>
              </w:rPr>
              <w:t>13,882.76</w:t>
            </w:r>
          </w:p>
        </w:tc>
        <w:tc>
          <w:tcPr>
            <w:tcW w:w="602" w:type="pct"/>
            <w:vAlign w:val="center"/>
          </w:tcPr>
          <w:p w:rsidR="00A35D1A" w:rsidRPr="00EA612D" w:rsidRDefault="00A35D1A" w:rsidP="00773990">
            <w:pPr>
              <w:jc w:val="right"/>
              <w:rPr>
                <w:rFonts w:ascii="Times New Roman" w:eastAsia="宋体" w:hAnsi="Times New Roman" w:cs="Times New Roman"/>
                <w:color w:val="000000" w:themeColor="text1"/>
                <w:sz w:val="16"/>
                <w:szCs w:val="16"/>
              </w:rPr>
            </w:pPr>
            <w:r w:rsidRPr="00EA612D">
              <w:rPr>
                <w:rFonts w:ascii="Times New Roman" w:hAnsi="Times New Roman" w:cs="Times New Roman"/>
                <w:color w:val="000000" w:themeColor="text1"/>
                <w:sz w:val="16"/>
                <w:szCs w:val="16"/>
              </w:rPr>
              <w:t>100.00</w:t>
            </w:r>
          </w:p>
        </w:tc>
      </w:tr>
      <w:tr w:rsidR="00835FFC" w:rsidRPr="00EA612D" w:rsidTr="00A35D1A">
        <w:trPr>
          <w:trHeight w:val="338"/>
        </w:trPr>
        <w:tc>
          <w:tcPr>
            <w:tcW w:w="931" w:type="pct"/>
            <w:vAlign w:val="bottom"/>
            <w:hideMark/>
          </w:tcPr>
          <w:p w:rsidR="00A35D1A" w:rsidRPr="00EA612D" w:rsidRDefault="00A35D1A" w:rsidP="00A35D1A">
            <w:pPr>
              <w:snapToGrid w:val="0"/>
              <w:spacing w:line="200" w:lineRule="atLeast"/>
              <w:ind w:leftChars="-20" w:left="-42"/>
              <w:jc w:val="lef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湖南博林高科股份有限公司</w:t>
            </w:r>
          </w:p>
        </w:tc>
        <w:tc>
          <w:tcPr>
            <w:tcW w:w="507" w:type="pct"/>
            <w:vAlign w:val="center"/>
          </w:tcPr>
          <w:p w:rsidR="00A35D1A" w:rsidRPr="00EA612D" w:rsidRDefault="00A35D1A" w:rsidP="00A35D1A">
            <w:pPr>
              <w:jc w:val="center"/>
              <w:rPr>
                <w:rFonts w:ascii="Times New Roman" w:eastAsia="宋体" w:hAnsi="Times New Roman" w:cs="Times New Roman"/>
                <w:color w:val="000000" w:themeColor="text1"/>
                <w:sz w:val="16"/>
                <w:szCs w:val="16"/>
              </w:rPr>
            </w:pPr>
            <w:r w:rsidRPr="00EA612D">
              <w:rPr>
                <w:rFonts w:ascii="Times New Roman" w:hAnsi="Times New Roman" w:cs="Times New Roman"/>
                <w:color w:val="000000" w:themeColor="text1"/>
                <w:sz w:val="16"/>
                <w:szCs w:val="16"/>
              </w:rPr>
              <w:t>注</w:t>
            </w:r>
            <w:r w:rsidRPr="00EA612D">
              <w:rPr>
                <w:rFonts w:ascii="宋体" w:eastAsia="宋体" w:hAnsi="宋体" w:cs="宋体" w:hint="eastAsia"/>
                <w:color w:val="000000" w:themeColor="text1"/>
                <w:sz w:val="16"/>
                <w:szCs w:val="16"/>
              </w:rPr>
              <w:t>②</w:t>
            </w:r>
          </w:p>
        </w:tc>
        <w:tc>
          <w:tcPr>
            <w:tcW w:w="807" w:type="pct"/>
            <w:vAlign w:val="center"/>
          </w:tcPr>
          <w:p w:rsidR="00A35D1A" w:rsidRPr="00EA612D" w:rsidRDefault="00A35D1A" w:rsidP="00773990">
            <w:pPr>
              <w:jc w:val="right"/>
              <w:rPr>
                <w:rFonts w:ascii="Times New Roman" w:eastAsia="宋体" w:hAnsi="Times New Roman" w:cs="Times New Roman"/>
                <w:color w:val="000000" w:themeColor="text1"/>
                <w:sz w:val="16"/>
                <w:szCs w:val="16"/>
              </w:rPr>
            </w:pPr>
            <w:r w:rsidRPr="00EA612D">
              <w:rPr>
                <w:rFonts w:ascii="Times New Roman" w:hAnsi="Times New Roman" w:cs="Times New Roman"/>
                <w:color w:val="000000" w:themeColor="text1"/>
                <w:sz w:val="16"/>
                <w:szCs w:val="16"/>
              </w:rPr>
              <w:t>3,127.50</w:t>
            </w:r>
          </w:p>
        </w:tc>
        <w:tc>
          <w:tcPr>
            <w:tcW w:w="838" w:type="pct"/>
            <w:shd w:val="clear" w:color="auto" w:fill="auto"/>
            <w:vAlign w:val="center"/>
            <w:hideMark/>
          </w:tcPr>
          <w:p w:rsidR="00A35D1A" w:rsidRPr="00EA612D" w:rsidRDefault="00A35D1A" w:rsidP="00773990">
            <w:pPr>
              <w:jc w:val="right"/>
              <w:rPr>
                <w:rFonts w:ascii="Times New Roman" w:eastAsia="宋体" w:hAnsi="Times New Roman" w:cs="Times New Roman"/>
                <w:color w:val="000000" w:themeColor="text1"/>
                <w:sz w:val="16"/>
                <w:szCs w:val="16"/>
              </w:rPr>
            </w:pPr>
            <w:r w:rsidRPr="00EA612D">
              <w:rPr>
                <w:rFonts w:ascii="Times New Roman" w:hAnsi="Times New Roman" w:cs="Times New Roman"/>
                <w:color w:val="000000" w:themeColor="text1"/>
                <w:sz w:val="16"/>
                <w:szCs w:val="16"/>
              </w:rPr>
              <w:t>12,630.00</w:t>
            </w:r>
          </w:p>
        </w:tc>
        <w:tc>
          <w:tcPr>
            <w:tcW w:w="539" w:type="pct"/>
            <w:shd w:val="clear" w:color="auto" w:fill="auto"/>
            <w:vAlign w:val="center"/>
          </w:tcPr>
          <w:p w:rsidR="00A35D1A" w:rsidRPr="00EA612D" w:rsidRDefault="00A35D1A" w:rsidP="00A35D1A">
            <w:pPr>
              <w:jc w:val="center"/>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3-4</w:t>
            </w:r>
            <w:r w:rsidRPr="00EA612D">
              <w:rPr>
                <w:rFonts w:ascii="Times New Roman" w:eastAsia="宋体" w:hAnsi="Times New Roman" w:cs="Times New Roman"/>
                <w:color w:val="000000" w:themeColor="text1"/>
                <w:sz w:val="16"/>
                <w:szCs w:val="16"/>
              </w:rPr>
              <w:t>年</w:t>
            </w:r>
          </w:p>
        </w:tc>
        <w:tc>
          <w:tcPr>
            <w:tcW w:w="776" w:type="pct"/>
            <w:shd w:val="clear" w:color="auto" w:fill="auto"/>
            <w:vAlign w:val="center"/>
            <w:hideMark/>
          </w:tcPr>
          <w:p w:rsidR="00A35D1A" w:rsidRPr="00EA612D" w:rsidRDefault="00A35D1A" w:rsidP="00773990">
            <w:pPr>
              <w:jc w:val="right"/>
              <w:rPr>
                <w:rFonts w:ascii="Times New Roman" w:eastAsia="宋体" w:hAnsi="Times New Roman" w:cs="Times New Roman"/>
                <w:color w:val="000000" w:themeColor="text1"/>
                <w:sz w:val="16"/>
                <w:szCs w:val="16"/>
              </w:rPr>
            </w:pPr>
            <w:r w:rsidRPr="00EA612D">
              <w:rPr>
                <w:rFonts w:ascii="Times New Roman" w:hAnsi="Times New Roman" w:cs="Times New Roman"/>
                <w:color w:val="000000" w:themeColor="text1"/>
                <w:sz w:val="16"/>
                <w:szCs w:val="16"/>
              </w:rPr>
              <w:t>5,683.50</w:t>
            </w:r>
          </w:p>
        </w:tc>
        <w:tc>
          <w:tcPr>
            <w:tcW w:w="602" w:type="pct"/>
            <w:vAlign w:val="center"/>
          </w:tcPr>
          <w:p w:rsidR="00A35D1A" w:rsidRPr="00EA612D" w:rsidRDefault="00A35D1A" w:rsidP="00773990">
            <w:pPr>
              <w:jc w:val="right"/>
              <w:rPr>
                <w:rFonts w:ascii="Times New Roman" w:eastAsia="宋体" w:hAnsi="Times New Roman" w:cs="Times New Roman"/>
                <w:color w:val="000000" w:themeColor="text1"/>
                <w:sz w:val="16"/>
                <w:szCs w:val="16"/>
              </w:rPr>
            </w:pPr>
            <w:r w:rsidRPr="00EA612D">
              <w:rPr>
                <w:rFonts w:ascii="Times New Roman" w:hAnsi="Times New Roman" w:cs="Times New Roman"/>
                <w:color w:val="000000" w:themeColor="text1"/>
                <w:sz w:val="16"/>
                <w:szCs w:val="16"/>
              </w:rPr>
              <w:t>45.00</w:t>
            </w:r>
          </w:p>
        </w:tc>
      </w:tr>
      <w:tr w:rsidR="00835FFC" w:rsidRPr="00EA612D" w:rsidTr="00A35D1A">
        <w:trPr>
          <w:trHeight w:val="291"/>
        </w:trPr>
        <w:tc>
          <w:tcPr>
            <w:tcW w:w="931" w:type="pct"/>
            <w:vAlign w:val="bottom"/>
            <w:hideMark/>
          </w:tcPr>
          <w:p w:rsidR="00A35D1A" w:rsidRPr="00EA612D" w:rsidRDefault="00A35D1A" w:rsidP="00A35D1A">
            <w:pPr>
              <w:snapToGrid w:val="0"/>
              <w:spacing w:line="200" w:lineRule="atLeast"/>
              <w:ind w:leftChars="-20" w:left="-42"/>
              <w:jc w:val="lef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深圳市海发进出口贸易有限公司</w:t>
            </w:r>
          </w:p>
        </w:tc>
        <w:tc>
          <w:tcPr>
            <w:tcW w:w="507" w:type="pct"/>
            <w:vAlign w:val="center"/>
          </w:tcPr>
          <w:p w:rsidR="00A35D1A" w:rsidRPr="00EA612D" w:rsidRDefault="00A35D1A" w:rsidP="00A35D1A">
            <w:pPr>
              <w:jc w:val="center"/>
              <w:rPr>
                <w:rFonts w:ascii="Times New Roman" w:eastAsia="宋体" w:hAnsi="Times New Roman" w:cs="Times New Roman"/>
                <w:color w:val="000000" w:themeColor="text1"/>
                <w:sz w:val="16"/>
                <w:szCs w:val="16"/>
              </w:rPr>
            </w:pPr>
            <w:r w:rsidRPr="00EA612D">
              <w:rPr>
                <w:rFonts w:ascii="Times New Roman" w:hAnsi="Times New Roman" w:cs="Times New Roman"/>
                <w:color w:val="000000" w:themeColor="text1"/>
                <w:sz w:val="16"/>
                <w:szCs w:val="16"/>
              </w:rPr>
              <w:t>注</w:t>
            </w:r>
            <w:r w:rsidRPr="00EA612D">
              <w:rPr>
                <w:rFonts w:ascii="宋体" w:eastAsia="宋体" w:hAnsi="宋体" w:cs="宋体" w:hint="eastAsia"/>
                <w:color w:val="000000" w:themeColor="text1"/>
                <w:sz w:val="16"/>
                <w:szCs w:val="16"/>
              </w:rPr>
              <w:t>③</w:t>
            </w:r>
          </w:p>
        </w:tc>
        <w:tc>
          <w:tcPr>
            <w:tcW w:w="807" w:type="pct"/>
            <w:vAlign w:val="center"/>
          </w:tcPr>
          <w:p w:rsidR="00A35D1A" w:rsidRPr="00EA612D" w:rsidRDefault="00A35D1A" w:rsidP="00773990">
            <w:pPr>
              <w:jc w:val="right"/>
              <w:rPr>
                <w:rFonts w:ascii="Times New Roman" w:eastAsia="宋体" w:hAnsi="Times New Roman" w:cs="Times New Roman"/>
                <w:color w:val="000000" w:themeColor="text1"/>
                <w:sz w:val="16"/>
                <w:szCs w:val="16"/>
              </w:rPr>
            </w:pPr>
            <w:r w:rsidRPr="00EA612D">
              <w:rPr>
                <w:rFonts w:ascii="Times New Roman" w:hAnsi="Times New Roman" w:cs="Times New Roman"/>
                <w:color w:val="000000" w:themeColor="text1"/>
                <w:sz w:val="16"/>
                <w:szCs w:val="16"/>
              </w:rPr>
              <w:t>2,966.71</w:t>
            </w:r>
          </w:p>
        </w:tc>
        <w:tc>
          <w:tcPr>
            <w:tcW w:w="838" w:type="pct"/>
            <w:shd w:val="clear" w:color="auto" w:fill="auto"/>
            <w:vAlign w:val="center"/>
          </w:tcPr>
          <w:p w:rsidR="00A35D1A" w:rsidRPr="00EA612D" w:rsidRDefault="00A35D1A" w:rsidP="00773990">
            <w:pPr>
              <w:jc w:val="right"/>
              <w:rPr>
                <w:rFonts w:ascii="Times New Roman" w:eastAsia="宋体" w:hAnsi="Times New Roman" w:cs="Times New Roman"/>
                <w:color w:val="000000" w:themeColor="text1"/>
                <w:sz w:val="16"/>
                <w:szCs w:val="16"/>
              </w:rPr>
            </w:pPr>
            <w:r w:rsidRPr="00EA612D">
              <w:rPr>
                <w:rFonts w:ascii="Times New Roman" w:hAnsi="Times New Roman" w:cs="Times New Roman"/>
                <w:color w:val="000000" w:themeColor="text1"/>
                <w:sz w:val="16"/>
                <w:szCs w:val="16"/>
              </w:rPr>
              <w:t>10,595.41</w:t>
            </w:r>
          </w:p>
        </w:tc>
        <w:tc>
          <w:tcPr>
            <w:tcW w:w="539" w:type="pct"/>
            <w:shd w:val="clear" w:color="auto" w:fill="auto"/>
            <w:vAlign w:val="center"/>
          </w:tcPr>
          <w:p w:rsidR="00A35D1A" w:rsidRPr="00EA612D" w:rsidRDefault="00A35D1A" w:rsidP="00A35D1A">
            <w:pPr>
              <w:jc w:val="center"/>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2-3</w:t>
            </w:r>
            <w:r w:rsidRPr="00EA612D">
              <w:rPr>
                <w:rFonts w:ascii="Times New Roman" w:eastAsia="宋体" w:hAnsi="Times New Roman" w:cs="Times New Roman"/>
                <w:color w:val="000000" w:themeColor="text1"/>
                <w:sz w:val="16"/>
                <w:szCs w:val="16"/>
              </w:rPr>
              <w:t>年</w:t>
            </w:r>
          </w:p>
        </w:tc>
        <w:tc>
          <w:tcPr>
            <w:tcW w:w="776" w:type="pct"/>
            <w:shd w:val="clear" w:color="auto" w:fill="auto"/>
            <w:vAlign w:val="center"/>
          </w:tcPr>
          <w:p w:rsidR="00A35D1A" w:rsidRPr="00EA612D" w:rsidRDefault="00A35D1A" w:rsidP="00773990">
            <w:pPr>
              <w:jc w:val="right"/>
              <w:rPr>
                <w:rFonts w:ascii="Times New Roman" w:eastAsia="宋体" w:hAnsi="Times New Roman" w:cs="Times New Roman"/>
                <w:color w:val="000000" w:themeColor="text1"/>
                <w:sz w:val="16"/>
                <w:szCs w:val="16"/>
              </w:rPr>
            </w:pPr>
            <w:r w:rsidRPr="00EA612D">
              <w:rPr>
                <w:rFonts w:ascii="Times New Roman" w:hAnsi="Times New Roman" w:cs="Times New Roman"/>
                <w:color w:val="000000" w:themeColor="text1"/>
                <w:sz w:val="16"/>
                <w:szCs w:val="16"/>
              </w:rPr>
              <w:t>3,178.62</w:t>
            </w:r>
          </w:p>
        </w:tc>
        <w:tc>
          <w:tcPr>
            <w:tcW w:w="602" w:type="pct"/>
            <w:vAlign w:val="center"/>
          </w:tcPr>
          <w:p w:rsidR="00A35D1A" w:rsidRPr="00EA612D" w:rsidRDefault="00A35D1A" w:rsidP="00773990">
            <w:pPr>
              <w:jc w:val="right"/>
              <w:rPr>
                <w:rFonts w:ascii="Times New Roman" w:eastAsia="宋体" w:hAnsi="Times New Roman" w:cs="Times New Roman"/>
                <w:color w:val="000000" w:themeColor="text1"/>
                <w:sz w:val="16"/>
                <w:szCs w:val="16"/>
              </w:rPr>
            </w:pPr>
            <w:r w:rsidRPr="00EA612D">
              <w:rPr>
                <w:rFonts w:ascii="Times New Roman" w:hAnsi="Times New Roman" w:cs="Times New Roman"/>
                <w:color w:val="000000" w:themeColor="text1"/>
                <w:sz w:val="16"/>
                <w:szCs w:val="16"/>
              </w:rPr>
              <w:t>30.00</w:t>
            </w:r>
          </w:p>
        </w:tc>
      </w:tr>
      <w:tr w:rsidR="00835FFC" w:rsidRPr="00EA612D" w:rsidTr="00A35D1A">
        <w:trPr>
          <w:trHeight w:val="261"/>
        </w:trPr>
        <w:tc>
          <w:tcPr>
            <w:tcW w:w="931" w:type="pct"/>
            <w:vAlign w:val="bottom"/>
            <w:hideMark/>
          </w:tcPr>
          <w:p w:rsidR="00A35D1A" w:rsidRPr="00EA612D" w:rsidRDefault="00A35D1A" w:rsidP="00A35D1A">
            <w:pPr>
              <w:snapToGrid w:val="0"/>
              <w:spacing w:line="200" w:lineRule="atLeast"/>
              <w:ind w:leftChars="-20" w:left="-42"/>
              <w:jc w:val="lef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九龙县吉利水电开发有限责任公司</w:t>
            </w:r>
          </w:p>
        </w:tc>
        <w:tc>
          <w:tcPr>
            <w:tcW w:w="507" w:type="pct"/>
            <w:vAlign w:val="center"/>
          </w:tcPr>
          <w:p w:rsidR="00A35D1A" w:rsidRPr="00EA612D" w:rsidRDefault="00A35D1A" w:rsidP="00A35D1A">
            <w:pPr>
              <w:jc w:val="center"/>
              <w:rPr>
                <w:rFonts w:ascii="Times New Roman" w:eastAsia="宋体" w:hAnsi="Times New Roman" w:cs="Times New Roman"/>
                <w:color w:val="000000" w:themeColor="text1"/>
                <w:sz w:val="16"/>
                <w:szCs w:val="16"/>
              </w:rPr>
            </w:pPr>
            <w:r w:rsidRPr="00EA612D">
              <w:rPr>
                <w:rFonts w:ascii="Times New Roman" w:hAnsi="Times New Roman" w:cs="Times New Roman"/>
                <w:color w:val="000000" w:themeColor="text1"/>
                <w:sz w:val="16"/>
                <w:szCs w:val="16"/>
              </w:rPr>
              <w:t>注</w:t>
            </w:r>
            <w:r w:rsidRPr="00EA612D">
              <w:rPr>
                <w:rFonts w:ascii="宋体" w:eastAsia="宋体" w:hAnsi="宋体" w:cs="宋体" w:hint="eastAsia"/>
                <w:color w:val="000000" w:themeColor="text1"/>
                <w:sz w:val="16"/>
                <w:szCs w:val="16"/>
              </w:rPr>
              <w:t>④</w:t>
            </w:r>
          </w:p>
        </w:tc>
        <w:tc>
          <w:tcPr>
            <w:tcW w:w="807" w:type="pct"/>
            <w:vAlign w:val="center"/>
          </w:tcPr>
          <w:p w:rsidR="00A35D1A" w:rsidRPr="00EA612D" w:rsidRDefault="00A35D1A" w:rsidP="00773990">
            <w:pPr>
              <w:jc w:val="right"/>
              <w:rPr>
                <w:rFonts w:ascii="Times New Roman" w:eastAsia="宋体" w:hAnsi="Times New Roman" w:cs="Times New Roman"/>
                <w:color w:val="000000" w:themeColor="text1"/>
                <w:sz w:val="16"/>
                <w:szCs w:val="16"/>
              </w:rPr>
            </w:pPr>
            <w:r w:rsidRPr="00EA612D">
              <w:rPr>
                <w:rFonts w:ascii="Times New Roman" w:hAnsi="Times New Roman" w:cs="Times New Roman"/>
                <w:color w:val="000000" w:themeColor="text1"/>
                <w:sz w:val="16"/>
                <w:szCs w:val="16"/>
              </w:rPr>
              <w:t>5,474.17</w:t>
            </w:r>
          </w:p>
        </w:tc>
        <w:tc>
          <w:tcPr>
            <w:tcW w:w="838" w:type="pct"/>
            <w:shd w:val="clear" w:color="auto" w:fill="auto"/>
            <w:vAlign w:val="center"/>
            <w:hideMark/>
          </w:tcPr>
          <w:p w:rsidR="00A35D1A" w:rsidRPr="00EA612D" w:rsidRDefault="00A35D1A" w:rsidP="00773990">
            <w:pPr>
              <w:jc w:val="right"/>
              <w:rPr>
                <w:rFonts w:ascii="Times New Roman" w:eastAsia="宋体" w:hAnsi="Times New Roman" w:cs="Times New Roman"/>
                <w:color w:val="000000" w:themeColor="text1"/>
                <w:sz w:val="16"/>
                <w:szCs w:val="16"/>
              </w:rPr>
            </w:pPr>
            <w:r w:rsidRPr="00EA612D">
              <w:rPr>
                <w:rFonts w:ascii="Times New Roman" w:hAnsi="Times New Roman" w:cs="Times New Roman"/>
                <w:color w:val="000000" w:themeColor="text1"/>
                <w:sz w:val="16"/>
                <w:szCs w:val="16"/>
              </w:rPr>
              <w:t>7,298.89</w:t>
            </w:r>
          </w:p>
        </w:tc>
        <w:tc>
          <w:tcPr>
            <w:tcW w:w="539" w:type="pct"/>
            <w:shd w:val="clear" w:color="auto" w:fill="auto"/>
            <w:vAlign w:val="center"/>
          </w:tcPr>
          <w:p w:rsidR="00A35D1A" w:rsidRPr="00EA612D" w:rsidRDefault="00A35D1A" w:rsidP="00A35D1A">
            <w:pPr>
              <w:jc w:val="center"/>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3-4</w:t>
            </w:r>
            <w:r w:rsidRPr="00EA612D">
              <w:rPr>
                <w:rFonts w:ascii="Times New Roman" w:eastAsia="宋体" w:hAnsi="Times New Roman" w:cs="Times New Roman"/>
                <w:color w:val="000000" w:themeColor="text1"/>
                <w:sz w:val="16"/>
                <w:szCs w:val="16"/>
              </w:rPr>
              <w:t>年</w:t>
            </w:r>
          </w:p>
        </w:tc>
        <w:tc>
          <w:tcPr>
            <w:tcW w:w="776" w:type="pct"/>
            <w:shd w:val="clear" w:color="auto" w:fill="auto"/>
            <w:vAlign w:val="center"/>
            <w:hideMark/>
          </w:tcPr>
          <w:p w:rsidR="00A35D1A" w:rsidRPr="00EA612D" w:rsidRDefault="00A35D1A" w:rsidP="00773990">
            <w:pPr>
              <w:jc w:val="right"/>
              <w:rPr>
                <w:rFonts w:ascii="Times New Roman" w:eastAsia="宋体" w:hAnsi="Times New Roman" w:cs="Times New Roman"/>
                <w:color w:val="000000" w:themeColor="text1"/>
                <w:sz w:val="16"/>
                <w:szCs w:val="16"/>
              </w:rPr>
            </w:pPr>
            <w:r w:rsidRPr="00EA612D">
              <w:rPr>
                <w:rFonts w:ascii="Times New Roman" w:hAnsi="Times New Roman" w:cs="Times New Roman"/>
                <w:color w:val="000000" w:themeColor="text1"/>
                <w:sz w:val="16"/>
                <w:szCs w:val="16"/>
              </w:rPr>
              <w:t>7,298.89</w:t>
            </w:r>
          </w:p>
        </w:tc>
        <w:tc>
          <w:tcPr>
            <w:tcW w:w="602" w:type="pct"/>
            <w:vAlign w:val="center"/>
          </w:tcPr>
          <w:p w:rsidR="00A35D1A" w:rsidRPr="00EA612D" w:rsidRDefault="00A35D1A" w:rsidP="00773990">
            <w:pPr>
              <w:jc w:val="right"/>
              <w:rPr>
                <w:rFonts w:ascii="Times New Roman" w:eastAsia="宋体" w:hAnsi="Times New Roman" w:cs="Times New Roman"/>
                <w:color w:val="000000" w:themeColor="text1"/>
                <w:sz w:val="16"/>
                <w:szCs w:val="16"/>
              </w:rPr>
            </w:pPr>
            <w:r w:rsidRPr="00EA612D">
              <w:rPr>
                <w:rFonts w:ascii="Times New Roman" w:hAnsi="Times New Roman" w:cs="Times New Roman"/>
                <w:color w:val="000000" w:themeColor="text1"/>
                <w:sz w:val="16"/>
                <w:szCs w:val="16"/>
              </w:rPr>
              <w:t>100.00</w:t>
            </w:r>
          </w:p>
        </w:tc>
      </w:tr>
      <w:tr w:rsidR="00835FFC" w:rsidRPr="00EA612D" w:rsidTr="00A35D1A">
        <w:trPr>
          <w:trHeight w:val="297"/>
        </w:trPr>
        <w:tc>
          <w:tcPr>
            <w:tcW w:w="931" w:type="pct"/>
            <w:vAlign w:val="bottom"/>
            <w:hideMark/>
          </w:tcPr>
          <w:p w:rsidR="00A35D1A" w:rsidRPr="00EA612D" w:rsidRDefault="00A35D1A" w:rsidP="00A35D1A">
            <w:pPr>
              <w:snapToGrid w:val="0"/>
              <w:spacing w:line="200" w:lineRule="atLeast"/>
              <w:ind w:leftChars="-20" w:left="-42"/>
              <w:jc w:val="left"/>
              <w:rPr>
                <w:rFonts w:ascii="Times New Roman" w:hAnsi="Times New Roman" w:cs="Times New Roman"/>
                <w:color w:val="000000" w:themeColor="text1"/>
                <w:sz w:val="16"/>
                <w:szCs w:val="16"/>
              </w:rPr>
            </w:pPr>
            <w:proofErr w:type="gramStart"/>
            <w:r w:rsidRPr="00EA612D">
              <w:rPr>
                <w:rFonts w:ascii="Times New Roman" w:hAnsi="Times New Roman" w:cs="Times New Roman"/>
                <w:color w:val="000000" w:themeColor="text1"/>
                <w:sz w:val="16"/>
                <w:szCs w:val="16"/>
              </w:rPr>
              <w:t>北京益资投资</w:t>
            </w:r>
            <w:proofErr w:type="gramEnd"/>
            <w:r w:rsidRPr="00EA612D">
              <w:rPr>
                <w:rFonts w:ascii="Times New Roman" w:hAnsi="Times New Roman" w:cs="Times New Roman"/>
                <w:color w:val="000000" w:themeColor="text1"/>
                <w:sz w:val="16"/>
                <w:szCs w:val="16"/>
              </w:rPr>
              <w:t>担保有限公司</w:t>
            </w:r>
          </w:p>
        </w:tc>
        <w:tc>
          <w:tcPr>
            <w:tcW w:w="507" w:type="pct"/>
            <w:vAlign w:val="center"/>
          </w:tcPr>
          <w:p w:rsidR="00A35D1A" w:rsidRPr="00EA612D" w:rsidRDefault="00A35D1A" w:rsidP="00A35D1A">
            <w:pPr>
              <w:jc w:val="center"/>
              <w:rPr>
                <w:rFonts w:ascii="Times New Roman" w:eastAsia="宋体" w:hAnsi="Times New Roman" w:cs="Times New Roman"/>
                <w:color w:val="000000" w:themeColor="text1"/>
                <w:sz w:val="16"/>
                <w:szCs w:val="16"/>
              </w:rPr>
            </w:pPr>
            <w:r w:rsidRPr="00EA612D">
              <w:rPr>
                <w:rFonts w:ascii="Times New Roman" w:hAnsi="Times New Roman" w:cs="Times New Roman"/>
                <w:color w:val="000000" w:themeColor="text1"/>
                <w:sz w:val="16"/>
                <w:szCs w:val="16"/>
              </w:rPr>
              <w:t>注</w:t>
            </w:r>
            <w:r w:rsidRPr="00EA612D">
              <w:rPr>
                <w:rFonts w:ascii="宋体" w:eastAsia="宋体" w:hAnsi="宋体" w:cs="宋体" w:hint="eastAsia"/>
                <w:color w:val="000000" w:themeColor="text1"/>
                <w:sz w:val="16"/>
                <w:szCs w:val="16"/>
              </w:rPr>
              <w:t>⑤</w:t>
            </w:r>
          </w:p>
        </w:tc>
        <w:tc>
          <w:tcPr>
            <w:tcW w:w="807" w:type="pct"/>
            <w:vAlign w:val="center"/>
          </w:tcPr>
          <w:p w:rsidR="00A35D1A" w:rsidRPr="00EA612D" w:rsidRDefault="00A35D1A" w:rsidP="00773990">
            <w:pPr>
              <w:jc w:val="right"/>
              <w:rPr>
                <w:rFonts w:ascii="Times New Roman" w:eastAsia="宋体" w:hAnsi="Times New Roman" w:cs="Times New Roman"/>
                <w:color w:val="000000" w:themeColor="text1"/>
                <w:sz w:val="16"/>
                <w:szCs w:val="16"/>
              </w:rPr>
            </w:pPr>
            <w:r w:rsidRPr="00EA612D">
              <w:rPr>
                <w:rFonts w:ascii="Times New Roman" w:hAnsi="Times New Roman" w:cs="Times New Roman"/>
                <w:color w:val="000000" w:themeColor="text1"/>
                <w:sz w:val="16"/>
                <w:szCs w:val="16"/>
              </w:rPr>
              <w:t>3,206.12</w:t>
            </w:r>
          </w:p>
        </w:tc>
        <w:tc>
          <w:tcPr>
            <w:tcW w:w="838" w:type="pct"/>
            <w:shd w:val="clear" w:color="auto" w:fill="auto"/>
            <w:vAlign w:val="center"/>
            <w:hideMark/>
          </w:tcPr>
          <w:p w:rsidR="00A35D1A" w:rsidRPr="00EA612D" w:rsidRDefault="00A35D1A" w:rsidP="00773990">
            <w:pPr>
              <w:jc w:val="right"/>
              <w:rPr>
                <w:rFonts w:ascii="Times New Roman" w:eastAsia="宋体" w:hAnsi="Times New Roman" w:cs="Times New Roman"/>
                <w:color w:val="000000" w:themeColor="text1"/>
                <w:sz w:val="16"/>
                <w:szCs w:val="16"/>
              </w:rPr>
            </w:pPr>
            <w:r w:rsidRPr="00EA612D">
              <w:rPr>
                <w:rFonts w:ascii="Times New Roman" w:hAnsi="Times New Roman" w:cs="Times New Roman"/>
                <w:color w:val="000000" w:themeColor="text1"/>
                <w:sz w:val="16"/>
                <w:szCs w:val="16"/>
              </w:rPr>
              <w:t>4,274.83</w:t>
            </w:r>
          </w:p>
        </w:tc>
        <w:tc>
          <w:tcPr>
            <w:tcW w:w="539" w:type="pct"/>
            <w:shd w:val="clear" w:color="auto" w:fill="auto"/>
            <w:vAlign w:val="center"/>
          </w:tcPr>
          <w:p w:rsidR="00A35D1A" w:rsidRPr="00EA612D" w:rsidRDefault="00A35D1A" w:rsidP="00A35D1A">
            <w:pPr>
              <w:jc w:val="center"/>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3-4</w:t>
            </w:r>
            <w:r w:rsidRPr="00EA612D">
              <w:rPr>
                <w:rFonts w:ascii="Times New Roman" w:eastAsia="宋体" w:hAnsi="Times New Roman" w:cs="Times New Roman"/>
                <w:color w:val="000000" w:themeColor="text1"/>
                <w:sz w:val="16"/>
                <w:szCs w:val="16"/>
              </w:rPr>
              <w:t>年</w:t>
            </w:r>
          </w:p>
        </w:tc>
        <w:tc>
          <w:tcPr>
            <w:tcW w:w="776" w:type="pct"/>
            <w:shd w:val="clear" w:color="auto" w:fill="auto"/>
            <w:vAlign w:val="center"/>
            <w:hideMark/>
          </w:tcPr>
          <w:p w:rsidR="00A35D1A" w:rsidRPr="00EA612D" w:rsidRDefault="00A35D1A" w:rsidP="00773990">
            <w:pPr>
              <w:jc w:val="right"/>
              <w:rPr>
                <w:rFonts w:ascii="Times New Roman" w:eastAsia="宋体" w:hAnsi="Times New Roman" w:cs="Times New Roman"/>
                <w:color w:val="000000" w:themeColor="text1"/>
                <w:sz w:val="16"/>
                <w:szCs w:val="16"/>
              </w:rPr>
            </w:pPr>
            <w:r w:rsidRPr="00EA612D">
              <w:rPr>
                <w:rFonts w:ascii="Times New Roman" w:hAnsi="Times New Roman" w:cs="Times New Roman"/>
                <w:color w:val="000000" w:themeColor="text1"/>
                <w:sz w:val="16"/>
                <w:szCs w:val="16"/>
              </w:rPr>
              <w:t>4,274.83</w:t>
            </w:r>
          </w:p>
        </w:tc>
        <w:tc>
          <w:tcPr>
            <w:tcW w:w="602" w:type="pct"/>
            <w:vAlign w:val="center"/>
          </w:tcPr>
          <w:p w:rsidR="00A35D1A" w:rsidRPr="00EA612D" w:rsidRDefault="00A35D1A" w:rsidP="00773990">
            <w:pPr>
              <w:jc w:val="right"/>
              <w:rPr>
                <w:rFonts w:ascii="Times New Roman" w:eastAsia="宋体" w:hAnsi="Times New Roman" w:cs="Times New Roman"/>
                <w:color w:val="000000" w:themeColor="text1"/>
                <w:sz w:val="16"/>
                <w:szCs w:val="16"/>
              </w:rPr>
            </w:pPr>
            <w:r w:rsidRPr="00EA612D">
              <w:rPr>
                <w:rFonts w:ascii="Times New Roman" w:hAnsi="Times New Roman" w:cs="Times New Roman"/>
                <w:color w:val="000000" w:themeColor="text1"/>
                <w:sz w:val="16"/>
                <w:szCs w:val="16"/>
              </w:rPr>
              <w:t>100.00</w:t>
            </w:r>
          </w:p>
        </w:tc>
      </w:tr>
      <w:tr w:rsidR="00835FFC" w:rsidRPr="00EA612D" w:rsidTr="00A35D1A">
        <w:trPr>
          <w:trHeight w:val="279"/>
        </w:trPr>
        <w:tc>
          <w:tcPr>
            <w:tcW w:w="931" w:type="pct"/>
            <w:shd w:val="clear" w:color="auto" w:fill="auto"/>
            <w:vAlign w:val="bottom"/>
            <w:hideMark/>
          </w:tcPr>
          <w:p w:rsidR="00A35D1A" w:rsidRPr="00EA612D" w:rsidRDefault="00A35D1A" w:rsidP="00A35D1A">
            <w:pP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合计</w:t>
            </w:r>
          </w:p>
        </w:tc>
        <w:tc>
          <w:tcPr>
            <w:tcW w:w="507" w:type="pct"/>
            <w:vAlign w:val="center"/>
          </w:tcPr>
          <w:p w:rsidR="00A35D1A" w:rsidRPr="00EA612D" w:rsidRDefault="00A35D1A" w:rsidP="00A35D1A">
            <w:pPr>
              <w:jc w:val="center"/>
              <w:rPr>
                <w:rFonts w:ascii="Times New Roman" w:hAnsi="Times New Roman" w:cs="Times New Roman"/>
                <w:color w:val="000000" w:themeColor="text1"/>
                <w:sz w:val="16"/>
                <w:szCs w:val="16"/>
              </w:rPr>
            </w:pPr>
          </w:p>
        </w:tc>
        <w:tc>
          <w:tcPr>
            <w:tcW w:w="807" w:type="pct"/>
            <w:vAlign w:val="center"/>
          </w:tcPr>
          <w:p w:rsidR="00A35D1A" w:rsidRPr="00EA612D" w:rsidRDefault="00A35D1A" w:rsidP="002415B6">
            <w:pPr>
              <w:jc w:val="right"/>
              <w:rPr>
                <w:rFonts w:ascii="Times New Roman" w:eastAsia="宋体" w:hAnsi="Times New Roman" w:cs="Times New Roman"/>
                <w:color w:val="000000" w:themeColor="text1"/>
                <w:sz w:val="16"/>
                <w:szCs w:val="16"/>
              </w:rPr>
            </w:pPr>
            <w:r w:rsidRPr="00EA612D">
              <w:rPr>
                <w:rFonts w:ascii="Times New Roman" w:hAnsi="Times New Roman" w:cs="Times New Roman"/>
                <w:color w:val="000000" w:themeColor="text1"/>
                <w:sz w:val="16"/>
                <w:szCs w:val="16"/>
              </w:rPr>
              <w:t>24,078.38</w:t>
            </w:r>
          </w:p>
        </w:tc>
        <w:tc>
          <w:tcPr>
            <w:tcW w:w="838" w:type="pct"/>
            <w:shd w:val="clear" w:color="auto" w:fill="auto"/>
            <w:vAlign w:val="center"/>
            <w:hideMark/>
          </w:tcPr>
          <w:p w:rsidR="00A35D1A" w:rsidRPr="00EA612D" w:rsidRDefault="00A35D1A">
            <w:pPr>
              <w:jc w:val="right"/>
              <w:rPr>
                <w:rFonts w:ascii="Times New Roman" w:eastAsia="宋体" w:hAnsi="Times New Roman" w:cs="Times New Roman"/>
                <w:color w:val="000000" w:themeColor="text1"/>
                <w:sz w:val="16"/>
                <w:szCs w:val="16"/>
              </w:rPr>
            </w:pPr>
            <w:r w:rsidRPr="00EA612D">
              <w:rPr>
                <w:rFonts w:ascii="Times New Roman" w:hAnsi="Times New Roman" w:cs="Times New Roman"/>
                <w:color w:val="000000" w:themeColor="text1"/>
                <w:sz w:val="16"/>
                <w:szCs w:val="16"/>
              </w:rPr>
              <w:t>48,681.89</w:t>
            </w:r>
          </w:p>
        </w:tc>
        <w:tc>
          <w:tcPr>
            <w:tcW w:w="539" w:type="pct"/>
            <w:shd w:val="clear" w:color="auto" w:fill="auto"/>
            <w:vAlign w:val="center"/>
          </w:tcPr>
          <w:p w:rsidR="00A35D1A" w:rsidRPr="00EA612D" w:rsidRDefault="00A35D1A" w:rsidP="00A35D1A">
            <w:pPr>
              <w:jc w:val="right"/>
              <w:rPr>
                <w:rFonts w:ascii="Times New Roman" w:eastAsia="宋体" w:hAnsi="Times New Roman" w:cs="Times New Roman"/>
                <w:color w:val="000000" w:themeColor="text1"/>
                <w:sz w:val="16"/>
                <w:szCs w:val="16"/>
              </w:rPr>
            </w:pPr>
          </w:p>
        </w:tc>
        <w:tc>
          <w:tcPr>
            <w:tcW w:w="776" w:type="pct"/>
            <w:shd w:val="clear" w:color="auto" w:fill="auto"/>
            <w:vAlign w:val="center"/>
            <w:hideMark/>
          </w:tcPr>
          <w:p w:rsidR="00A35D1A" w:rsidRPr="00EA612D" w:rsidRDefault="00A35D1A" w:rsidP="009B6034">
            <w:pPr>
              <w:jc w:val="right"/>
              <w:rPr>
                <w:rFonts w:ascii="Times New Roman" w:eastAsia="宋体" w:hAnsi="Times New Roman" w:cs="Times New Roman"/>
                <w:color w:val="000000" w:themeColor="text1"/>
                <w:sz w:val="16"/>
                <w:szCs w:val="16"/>
              </w:rPr>
            </w:pPr>
            <w:r w:rsidRPr="00EA612D">
              <w:rPr>
                <w:rFonts w:ascii="Times New Roman" w:hAnsi="Times New Roman" w:cs="Times New Roman"/>
                <w:color w:val="000000" w:themeColor="text1"/>
                <w:sz w:val="16"/>
                <w:szCs w:val="16"/>
              </w:rPr>
              <w:t>34,318.</w:t>
            </w:r>
            <w:r w:rsidR="009B6034" w:rsidRPr="00EA612D">
              <w:rPr>
                <w:rFonts w:ascii="Times New Roman" w:hAnsi="Times New Roman" w:cs="Times New Roman"/>
                <w:color w:val="000000" w:themeColor="text1"/>
                <w:sz w:val="16"/>
                <w:szCs w:val="16"/>
              </w:rPr>
              <w:t>60</w:t>
            </w:r>
          </w:p>
        </w:tc>
        <w:tc>
          <w:tcPr>
            <w:tcW w:w="602" w:type="pct"/>
            <w:vAlign w:val="center"/>
          </w:tcPr>
          <w:p w:rsidR="00A35D1A" w:rsidRPr="00EA612D" w:rsidRDefault="00A35D1A">
            <w:pPr>
              <w:jc w:val="right"/>
              <w:rPr>
                <w:rFonts w:ascii="Times New Roman" w:eastAsia="宋体" w:hAnsi="Times New Roman" w:cs="Times New Roman"/>
                <w:color w:val="000000" w:themeColor="text1"/>
                <w:sz w:val="16"/>
                <w:szCs w:val="16"/>
              </w:rPr>
            </w:pPr>
          </w:p>
        </w:tc>
      </w:tr>
    </w:tbl>
    <w:p w:rsidR="00A35D1A" w:rsidRPr="00EA612D" w:rsidRDefault="00A35D1A" w:rsidP="00F663C7">
      <w:pPr>
        <w:pStyle w:val="a6"/>
        <w:numPr>
          <w:ilvl w:val="0"/>
          <w:numId w:val="23"/>
        </w:numPr>
        <w:spacing w:beforeLines="50" w:before="156" w:afterLines="50" w:after="156" w:line="360" w:lineRule="auto"/>
        <w:ind w:leftChars="50" w:left="105" w:rightChars="50" w:right="105" w:firstLineChars="0" w:firstLine="560"/>
        <w:rPr>
          <w:rStyle w:val="a5"/>
          <w:rFonts w:asciiTheme="minorEastAsia" w:hAnsiTheme="minorEastAsia" w:cs="Times New Roman"/>
          <w:b w:val="0"/>
          <w:color w:val="000000" w:themeColor="text1"/>
          <w:sz w:val="24"/>
          <w:szCs w:val="24"/>
        </w:rPr>
      </w:pPr>
      <w:r w:rsidRPr="00EA612D">
        <w:rPr>
          <w:rStyle w:val="a5"/>
          <w:rFonts w:asciiTheme="minorEastAsia" w:hAnsiTheme="minorEastAsia" w:cs="Times New Roman"/>
          <w:b w:val="0"/>
          <w:color w:val="000000" w:themeColor="text1"/>
          <w:sz w:val="24"/>
          <w:szCs w:val="24"/>
        </w:rPr>
        <w:t>：公司之子公司西安大唐电信有限公司应收陕西省西咸新区秦汉新城管理委员会</w:t>
      </w:r>
      <w:r w:rsidR="006C3871" w:rsidRPr="00EA612D">
        <w:rPr>
          <w:rStyle w:val="a5"/>
          <w:rFonts w:asciiTheme="minorEastAsia" w:hAnsiTheme="minorEastAsia" w:cs="Times New Roman"/>
          <w:b w:val="0"/>
          <w:color w:val="000000" w:themeColor="text1"/>
          <w:sz w:val="24"/>
          <w:szCs w:val="24"/>
        </w:rPr>
        <w:t>13,882.76万</w:t>
      </w:r>
      <w:r w:rsidRPr="00EA612D">
        <w:rPr>
          <w:rStyle w:val="a5"/>
          <w:rFonts w:asciiTheme="minorEastAsia" w:hAnsiTheme="minorEastAsia" w:cs="Times New Roman"/>
          <w:b w:val="0"/>
          <w:color w:val="000000" w:themeColor="text1"/>
          <w:sz w:val="24"/>
          <w:szCs w:val="24"/>
        </w:rPr>
        <w:t>元，2016</w:t>
      </w:r>
      <w:r w:rsidRPr="00EA612D">
        <w:rPr>
          <w:rStyle w:val="a5"/>
          <w:rFonts w:asciiTheme="minorEastAsia" w:hAnsiTheme="minorEastAsia" w:cs="Times New Roman" w:hint="eastAsia"/>
          <w:b w:val="0"/>
          <w:color w:val="000000" w:themeColor="text1"/>
          <w:sz w:val="24"/>
          <w:szCs w:val="24"/>
        </w:rPr>
        <w:t>年度由于此项目相关人员涉及</w:t>
      </w:r>
      <w:r w:rsidR="00F57650" w:rsidRPr="00EA612D">
        <w:rPr>
          <w:rStyle w:val="a5"/>
          <w:rFonts w:asciiTheme="minorEastAsia" w:hAnsiTheme="minorEastAsia" w:cs="Times New Roman" w:hint="eastAsia"/>
          <w:b w:val="0"/>
          <w:color w:val="000000" w:themeColor="text1"/>
          <w:sz w:val="24"/>
          <w:szCs w:val="24"/>
        </w:rPr>
        <w:t>其他</w:t>
      </w:r>
      <w:r w:rsidRPr="00EA612D">
        <w:rPr>
          <w:rStyle w:val="a5"/>
          <w:rFonts w:asciiTheme="minorEastAsia" w:hAnsiTheme="minorEastAsia" w:cs="Times New Roman" w:hint="eastAsia"/>
          <w:b w:val="0"/>
          <w:color w:val="000000" w:themeColor="text1"/>
          <w:sz w:val="24"/>
          <w:szCs w:val="24"/>
        </w:rPr>
        <w:t>案件，</w:t>
      </w:r>
      <w:proofErr w:type="gramStart"/>
      <w:r w:rsidR="000C3DAC" w:rsidRPr="00EA612D">
        <w:rPr>
          <w:rStyle w:val="a5"/>
          <w:rFonts w:asciiTheme="minorEastAsia" w:hAnsiTheme="minorEastAsia" w:cs="Times New Roman"/>
          <w:b w:val="0"/>
          <w:color w:val="000000" w:themeColor="text1"/>
          <w:sz w:val="24"/>
          <w:szCs w:val="24"/>
        </w:rPr>
        <w:t>且律师</w:t>
      </w:r>
      <w:proofErr w:type="gramEnd"/>
      <w:r w:rsidR="000C3DAC" w:rsidRPr="00EA612D">
        <w:rPr>
          <w:rStyle w:val="a5"/>
          <w:rFonts w:asciiTheme="minorEastAsia" w:hAnsiTheme="minorEastAsia" w:cs="Times New Roman"/>
          <w:b w:val="0"/>
          <w:color w:val="000000" w:themeColor="text1"/>
          <w:sz w:val="24"/>
          <w:szCs w:val="24"/>
        </w:rPr>
        <w:t>专项意见</w:t>
      </w:r>
      <w:r w:rsidR="00D5212B" w:rsidRPr="00EA612D">
        <w:rPr>
          <w:rStyle w:val="a5"/>
          <w:rFonts w:asciiTheme="minorEastAsia" w:hAnsiTheme="minorEastAsia" w:cs="Times New Roman" w:hint="eastAsia"/>
          <w:b w:val="0"/>
          <w:color w:val="000000" w:themeColor="text1"/>
          <w:sz w:val="24"/>
          <w:szCs w:val="24"/>
        </w:rPr>
        <w:t>认为</w:t>
      </w:r>
      <w:r w:rsidR="000C3DAC" w:rsidRPr="00EA612D">
        <w:rPr>
          <w:rStyle w:val="a5"/>
          <w:rFonts w:asciiTheme="minorEastAsia" w:hAnsiTheme="minorEastAsia" w:cs="Times New Roman"/>
          <w:b w:val="0"/>
          <w:color w:val="000000" w:themeColor="text1"/>
          <w:sz w:val="24"/>
          <w:szCs w:val="24"/>
        </w:rPr>
        <w:t>收回此笔应收账款的可能性</w:t>
      </w:r>
      <w:r w:rsidR="00595A82" w:rsidRPr="00EA612D">
        <w:rPr>
          <w:rStyle w:val="a5"/>
          <w:rFonts w:asciiTheme="minorEastAsia" w:hAnsiTheme="minorEastAsia" w:cs="Times New Roman" w:hint="eastAsia"/>
          <w:b w:val="0"/>
          <w:color w:val="000000" w:themeColor="text1"/>
          <w:sz w:val="24"/>
          <w:szCs w:val="24"/>
        </w:rPr>
        <w:t>较</w:t>
      </w:r>
      <w:r w:rsidR="005847EB" w:rsidRPr="00EA612D">
        <w:rPr>
          <w:rStyle w:val="a5"/>
          <w:rFonts w:asciiTheme="minorEastAsia" w:hAnsiTheme="minorEastAsia" w:cs="Times New Roman" w:hint="eastAsia"/>
          <w:b w:val="0"/>
          <w:color w:val="000000" w:themeColor="text1"/>
          <w:sz w:val="24"/>
          <w:szCs w:val="24"/>
        </w:rPr>
        <w:t>小</w:t>
      </w:r>
      <w:r w:rsidR="000C3DAC" w:rsidRPr="00EA612D">
        <w:rPr>
          <w:rStyle w:val="a5"/>
          <w:rFonts w:asciiTheme="minorEastAsia" w:hAnsiTheme="minorEastAsia" w:cs="Times New Roman"/>
          <w:b w:val="0"/>
          <w:color w:val="000000" w:themeColor="text1"/>
          <w:sz w:val="24"/>
          <w:szCs w:val="24"/>
        </w:rPr>
        <w:t>，</w:t>
      </w:r>
      <w:r w:rsidRPr="00EA612D">
        <w:rPr>
          <w:rStyle w:val="a5"/>
          <w:rFonts w:asciiTheme="minorEastAsia" w:hAnsiTheme="minorEastAsia" w:cs="Times New Roman" w:hint="eastAsia"/>
          <w:b w:val="0"/>
          <w:color w:val="000000" w:themeColor="text1"/>
          <w:sz w:val="24"/>
          <w:szCs w:val="24"/>
        </w:rPr>
        <w:t>故</w:t>
      </w:r>
      <w:r w:rsidR="00D5212B" w:rsidRPr="00EA612D">
        <w:rPr>
          <w:rStyle w:val="a5"/>
          <w:rFonts w:asciiTheme="minorEastAsia" w:hAnsiTheme="minorEastAsia" w:cs="Times New Roman" w:hint="eastAsia"/>
          <w:b w:val="0"/>
          <w:color w:val="000000" w:themeColor="text1"/>
          <w:sz w:val="24"/>
          <w:szCs w:val="24"/>
        </w:rPr>
        <w:t>公司</w:t>
      </w:r>
      <w:r w:rsidRPr="00EA612D">
        <w:rPr>
          <w:rStyle w:val="a5"/>
          <w:rFonts w:asciiTheme="minorEastAsia" w:hAnsiTheme="minorEastAsia" w:cs="Times New Roman" w:hint="eastAsia"/>
          <w:b w:val="0"/>
          <w:color w:val="000000" w:themeColor="text1"/>
          <w:sz w:val="24"/>
          <w:szCs w:val="24"/>
        </w:rPr>
        <w:t>按照谨慎性原则</w:t>
      </w:r>
      <w:r w:rsidRPr="00EA612D">
        <w:rPr>
          <w:rStyle w:val="a5"/>
          <w:rFonts w:asciiTheme="minorEastAsia" w:hAnsiTheme="minorEastAsia" w:cs="Times New Roman"/>
          <w:b w:val="0"/>
          <w:color w:val="000000" w:themeColor="text1"/>
          <w:sz w:val="24"/>
          <w:szCs w:val="24"/>
        </w:rPr>
        <w:t>100%</w:t>
      </w:r>
      <w:r w:rsidR="00D50E42" w:rsidRPr="00EA612D">
        <w:rPr>
          <w:rStyle w:val="a5"/>
          <w:rFonts w:asciiTheme="minorEastAsia" w:hAnsiTheme="minorEastAsia" w:cs="Times New Roman" w:hint="eastAsia"/>
          <w:b w:val="0"/>
          <w:color w:val="000000" w:themeColor="text1"/>
          <w:sz w:val="24"/>
          <w:szCs w:val="24"/>
        </w:rPr>
        <w:t>计提</w:t>
      </w:r>
      <w:r w:rsidRPr="00EA612D">
        <w:rPr>
          <w:rStyle w:val="a5"/>
          <w:rFonts w:asciiTheme="minorEastAsia" w:hAnsiTheme="minorEastAsia" w:cs="Times New Roman" w:hint="eastAsia"/>
          <w:b w:val="0"/>
          <w:color w:val="000000" w:themeColor="text1"/>
          <w:sz w:val="24"/>
          <w:szCs w:val="24"/>
        </w:rPr>
        <w:t>坏账准备。</w:t>
      </w:r>
    </w:p>
    <w:p w:rsidR="00A35D1A" w:rsidRPr="00EA612D" w:rsidRDefault="00A35D1A" w:rsidP="00F663C7">
      <w:pPr>
        <w:spacing w:beforeLines="50" w:before="156" w:afterLines="50" w:after="156" w:line="360" w:lineRule="auto"/>
        <w:ind w:leftChars="50" w:left="105" w:rightChars="50" w:right="105" w:firstLineChars="200" w:firstLine="480"/>
        <w:rPr>
          <w:rStyle w:val="a5"/>
          <w:rFonts w:asciiTheme="minorEastAsia" w:hAnsiTheme="minorEastAsia" w:cs="Times New Roman"/>
          <w:b w:val="0"/>
          <w:color w:val="000000" w:themeColor="text1"/>
          <w:sz w:val="24"/>
          <w:szCs w:val="24"/>
        </w:rPr>
      </w:pPr>
      <w:r w:rsidRPr="00EA612D">
        <w:rPr>
          <w:rStyle w:val="a5"/>
          <w:rFonts w:asciiTheme="minorEastAsia" w:hAnsiTheme="minorEastAsia" w:cs="Times New Roman"/>
          <w:b w:val="0"/>
          <w:color w:val="000000" w:themeColor="text1"/>
          <w:sz w:val="24"/>
          <w:szCs w:val="24"/>
        </w:rPr>
        <w:lastRenderedPageBreak/>
        <w:t>注</w:t>
      </w:r>
      <w:r w:rsidRPr="00EA612D">
        <w:rPr>
          <w:rStyle w:val="a5"/>
          <w:rFonts w:asciiTheme="minorEastAsia" w:hAnsiTheme="minorEastAsia" w:cs="宋体" w:hint="eastAsia"/>
          <w:b w:val="0"/>
          <w:color w:val="000000" w:themeColor="text1"/>
          <w:sz w:val="24"/>
          <w:szCs w:val="24"/>
        </w:rPr>
        <w:t>②</w:t>
      </w:r>
      <w:r w:rsidRPr="00EA612D">
        <w:rPr>
          <w:rStyle w:val="a5"/>
          <w:rFonts w:asciiTheme="minorEastAsia" w:hAnsiTheme="minorEastAsia" w:cs="Times New Roman"/>
          <w:b w:val="0"/>
          <w:color w:val="000000" w:themeColor="text1"/>
          <w:sz w:val="24"/>
          <w:szCs w:val="24"/>
        </w:rPr>
        <w:t>：公司应收湖南博林高科股份有限公司</w:t>
      </w:r>
      <w:r w:rsidR="00806152" w:rsidRPr="00EA612D">
        <w:rPr>
          <w:rStyle w:val="a5"/>
          <w:rFonts w:asciiTheme="minorEastAsia" w:hAnsiTheme="minorEastAsia" w:cs="Times New Roman"/>
          <w:b w:val="0"/>
          <w:color w:val="000000" w:themeColor="text1"/>
          <w:sz w:val="24"/>
          <w:szCs w:val="24"/>
        </w:rPr>
        <w:t>12,630.00</w:t>
      </w:r>
      <w:r w:rsidR="00806152" w:rsidRPr="00EA612D">
        <w:rPr>
          <w:rStyle w:val="a5"/>
          <w:rFonts w:asciiTheme="minorEastAsia" w:hAnsiTheme="minorEastAsia" w:cs="Times New Roman" w:hint="eastAsia"/>
          <w:b w:val="0"/>
          <w:color w:val="000000" w:themeColor="text1"/>
          <w:sz w:val="24"/>
          <w:szCs w:val="24"/>
        </w:rPr>
        <w:t>万</w:t>
      </w:r>
      <w:r w:rsidRPr="00EA612D">
        <w:rPr>
          <w:rStyle w:val="a5"/>
          <w:rFonts w:asciiTheme="minorEastAsia" w:hAnsiTheme="minorEastAsia" w:cs="Times New Roman"/>
          <w:b w:val="0"/>
          <w:color w:val="000000" w:themeColor="text1"/>
          <w:sz w:val="24"/>
          <w:szCs w:val="24"/>
        </w:rPr>
        <w:t>元，由于客户资金紧张，且2016年度湖南博林高科股份有限公司被</w:t>
      </w:r>
      <w:r w:rsidR="00F44428" w:rsidRPr="00EA612D">
        <w:rPr>
          <w:rStyle w:val="a5"/>
          <w:rFonts w:asciiTheme="minorEastAsia" w:hAnsiTheme="minorEastAsia" w:cs="Times New Roman"/>
          <w:b w:val="0"/>
          <w:color w:val="000000" w:themeColor="text1"/>
          <w:sz w:val="24"/>
          <w:szCs w:val="24"/>
        </w:rPr>
        <w:t>列入</w:t>
      </w:r>
      <w:r w:rsidR="00F44428" w:rsidRPr="00EA612D">
        <w:rPr>
          <w:rStyle w:val="a5"/>
          <w:rFonts w:asciiTheme="minorEastAsia" w:hAnsiTheme="minorEastAsia" w:cs="Times New Roman" w:hint="eastAsia"/>
          <w:b w:val="0"/>
          <w:color w:val="000000" w:themeColor="text1"/>
          <w:sz w:val="24"/>
          <w:szCs w:val="24"/>
        </w:rPr>
        <w:t>全国法院</w:t>
      </w:r>
      <w:r w:rsidR="00F44428" w:rsidRPr="00EA612D">
        <w:rPr>
          <w:rStyle w:val="a5"/>
          <w:rFonts w:asciiTheme="minorEastAsia" w:hAnsiTheme="minorEastAsia" w:cs="Times New Roman"/>
          <w:b w:val="0"/>
          <w:color w:val="000000" w:themeColor="text1"/>
          <w:sz w:val="24"/>
          <w:szCs w:val="24"/>
        </w:rPr>
        <w:t>失信被执行人名</w:t>
      </w:r>
      <w:r w:rsidR="00F44428" w:rsidRPr="00EA612D">
        <w:rPr>
          <w:rStyle w:val="a5"/>
          <w:rFonts w:asciiTheme="minorEastAsia" w:hAnsiTheme="minorEastAsia" w:cs="Times New Roman" w:hint="eastAsia"/>
          <w:b w:val="0"/>
          <w:color w:val="000000" w:themeColor="text1"/>
          <w:sz w:val="24"/>
          <w:szCs w:val="24"/>
        </w:rPr>
        <w:t>单</w:t>
      </w:r>
      <w:r w:rsidRPr="00EA612D">
        <w:rPr>
          <w:rStyle w:val="a5"/>
          <w:rFonts w:asciiTheme="minorEastAsia" w:hAnsiTheme="minorEastAsia" w:cs="Times New Roman"/>
          <w:b w:val="0"/>
          <w:color w:val="000000" w:themeColor="text1"/>
          <w:sz w:val="24"/>
          <w:szCs w:val="24"/>
        </w:rPr>
        <w:t>，律师专项意见认为湖南博林高科股份有限公司偿付能力为中等水平，故</w:t>
      </w:r>
      <w:r w:rsidR="00D5212B" w:rsidRPr="00EA612D">
        <w:rPr>
          <w:rStyle w:val="a5"/>
          <w:rFonts w:asciiTheme="minorEastAsia" w:hAnsiTheme="minorEastAsia" w:cs="Times New Roman" w:hint="eastAsia"/>
          <w:b w:val="0"/>
          <w:color w:val="000000" w:themeColor="text1"/>
          <w:sz w:val="24"/>
          <w:szCs w:val="24"/>
        </w:rPr>
        <w:t>公司</w:t>
      </w:r>
      <w:r w:rsidR="00595A82" w:rsidRPr="00EA612D">
        <w:rPr>
          <w:rStyle w:val="a5"/>
          <w:rFonts w:asciiTheme="minorEastAsia" w:hAnsiTheme="minorEastAsia" w:cs="Times New Roman" w:hint="eastAsia"/>
          <w:b w:val="0"/>
          <w:color w:val="000000" w:themeColor="text1"/>
          <w:sz w:val="24"/>
          <w:szCs w:val="24"/>
        </w:rPr>
        <w:t>按照谨慎性原则，</w:t>
      </w:r>
      <w:r w:rsidRPr="00EA612D">
        <w:rPr>
          <w:rStyle w:val="a5"/>
          <w:rFonts w:asciiTheme="minorEastAsia" w:hAnsiTheme="minorEastAsia" w:cs="Times New Roman"/>
          <w:b w:val="0"/>
          <w:color w:val="000000" w:themeColor="text1"/>
          <w:sz w:val="24"/>
          <w:szCs w:val="24"/>
        </w:rPr>
        <w:t>按照期末余额的45%计提坏账准备。</w:t>
      </w:r>
    </w:p>
    <w:p w:rsidR="00A35D1A" w:rsidRPr="00EA612D" w:rsidRDefault="00A35D1A" w:rsidP="00F663C7">
      <w:pPr>
        <w:spacing w:beforeLines="50" w:before="156" w:afterLines="50" w:after="156" w:line="360" w:lineRule="auto"/>
        <w:ind w:leftChars="50" w:left="105" w:rightChars="50" w:right="105" w:firstLineChars="200" w:firstLine="480"/>
        <w:rPr>
          <w:rStyle w:val="a5"/>
          <w:rFonts w:asciiTheme="minorEastAsia" w:hAnsiTheme="minorEastAsia" w:cs="Times New Roman"/>
          <w:b w:val="0"/>
          <w:color w:val="000000" w:themeColor="text1"/>
          <w:sz w:val="24"/>
          <w:szCs w:val="24"/>
        </w:rPr>
      </w:pPr>
      <w:r w:rsidRPr="00EA612D">
        <w:rPr>
          <w:rStyle w:val="a5"/>
          <w:rFonts w:asciiTheme="minorEastAsia" w:hAnsiTheme="minorEastAsia" w:cs="Times New Roman"/>
          <w:b w:val="0"/>
          <w:color w:val="000000" w:themeColor="text1"/>
          <w:sz w:val="24"/>
          <w:szCs w:val="24"/>
        </w:rPr>
        <w:t>注</w:t>
      </w:r>
      <w:r w:rsidRPr="00EA612D">
        <w:rPr>
          <w:rStyle w:val="a5"/>
          <w:rFonts w:asciiTheme="minorEastAsia" w:hAnsiTheme="minorEastAsia" w:cs="宋体" w:hint="eastAsia"/>
          <w:b w:val="0"/>
          <w:color w:val="000000" w:themeColor="text1"/>
          <w:sz w:val="24"/>
          <w:szCs w:val="24"/>
        </w:rPr>
        <w:t>③</w:t>
      </w:r>
      <w:r w:rsidRPr="00EA612D">
        <w:rPr>
          <w:rStyle w:val="a5"/>
          <w:rFonts w:asciiTheme="minorEastAsia" w:hAnsiTheme="minorEastAsia" w:cs="Times New Roman"/>
          <w:b w:val="0"/>
          <w:color w:val="000000" w:themeColor="text1"/>
          <w:sz w:val="24"/>
          <w:szCs w:val="24"/>
        </w:rPr>
        <w:t>：公司之子公司上海浦歌电子有限公司应收深圳市海发进出口贸易有限公司</w:t>
      </w:r>
      <w:r w:rsidR="003D21A5" w:rsidRPr="00EA612D">
        <w:rPr>
          <w:rStyle w:val="a5"/>
          <w:rFonts w:asciiTheme="minorEastAsia" w:hAnsiTheme="minorEastAsia" w:cs="Times New Roman"/>
          <w:b w:val="0"/>
          <w:color w:val="000000" w:themeColor="text1"/>
          <w:sz w:val="24"/>
          <w:szCs w:val="24"/>
        </w:rPr>
        <w:t>10,595.41</w:t>
      </w:r>
      <w:r w:rsidR="003D21A5" w:rsidRPr="00EA612D">
        <w:rPr>
          <w:rStyle w:val="a5"/>
          <w:rFonts w:asciiTheme="minorEastAsia" w:hAnsiTheme="minorEastAsia" w:cs="Times New Roman" w:hint="eastAsia"/>
          <w:b w:val="0"/>
          <w:color w:val="000000" w:themeColor="text1"/>
          <w:sz w:val="24"/>
          <w:szCs w:val="24"/>
        </w:rPr>
        <w:t>万</w:t>
      </w:r>
      <w:r w:rsidRPr="00EA612D">
        <w:rPr>
          <w:rStyle w:val="a5"/>
          <w:rFonts w:asciiTheme="minorEastAsia" w:hAnsiTheme="minorEastAsia" w:cs="Times New Roman"/>
          <w:b w:val="0"/>
          <w:color w:val="000000" w:themeColor="text1"/>
          <w:sz w:val="24"/>
          <w:szCs w:val="24"/>
        </w:rPr>
        <w:t>元，</w:t>
      </w:r>
      <w:r w:rsidR="00F44428" w:rsidRPr="00EA612D">
        <w:rPr>
          <w:rStyle w:val="a5"/>
          <w:rFonts w:asciiTheme="minorEastAsia" w:hAnsiTheme="minorEastAsia" w:cs="Times New Roman"/>
          <w:b w:val="0"/>
          <w:color w:val="000000" w:themeColor="text1"/>
          <w:sz w:val="24"/>
          <w:szCs w:val="24"/>
        </w:rPr>
        <w:t>2016年度深圳市海发进出口贸易有限公司出现法律纠纷问题，</w:t>
      </w:r>
      <w:r w:rsidR="00F44428" w:rsidRPr="00EA612D">
        <w:rPr>
          <w:rStyle w:val="a5"/>
          <w:rFonts w:asciiTheme="minorEastAsia" w:hAnsiTheme="minorEastAsia" w:cs="Times New Roman" w:hint="eastAsia"/>
          <w:b w:val="0"/>
          <w:color w:val="000000" w:themeColor="text1"/>
          <w:sz w:val="24"/>
          <w:szCs w:val="24"/>
        </w:rPr>
        <w:t>未按照合同要求继续回款且被列入全国法院失信被执行人名单，</w:t>
      </w:r>
      <w:r w:rsidRPr="00EA612D">
        <w:rPr>
          <w:rStyle w:val="a5"/>
          <w:rFonts w:asciiTheme="minorEastAsia" w:hAnsiTheme="minorEastAsia" w:cs="Times New Roman"/>
          <w:b w:val="0"/>
          <w:color w:val="000000" w:themeColor="text1"/>
          <w:sz w:val="24"/>
          <w:szCs w:val="24"/>
        </w:rPr>
        <w:t>公司已经安排商务团队与其积极沟通，加强催收，但由于其资金账户被冻结，</w:t>
      </w:r>
      <w:proofErr w:type="gramStart"/>
      <w:r w:rsidRPr="00EA612D">
        <w:rPr>
          <w:rStyle w:val="a5"/>
          <w:rFonts w:asciiTheme="minorEastAsia" w:hAnsiTheme="minorEastAsia" w:cs="Times New Roman"/>
          <w:b w:val="0"/>
          <w:color w:val="000000" w:themeColor="text1"/>
          <w:sz w:val="24"/>
          <w:szCs w:val="24"/>
        </w:rPr>
        <w:t>且律师</w:t>
      </w:r>
      <w:proofErr w:type="gramEnd"/>
      <w:r w:rsidRPr="00EA612D">
        <w:rPr>
          <w:rStyle w:val="a5"/>
          <w:rFonts w:asciiTheme="minorEastAsia" w:hAnsiTheme="minorEastAsia" w:cs="Times New Roman"/>
          <w:b w:val="0"/>
          <w:color w:val="000000" w:themeColor="text1"/>
          <w:sz w:val="24"/>
          <w:szCs w:val="24"/>
        </w:rPr>
        <w:t>专项意见认为深圳市海发进出口贸易有限公司偿付能力在70%-80%之间，</w:t>
      </w:r>
      <w:r w:rsidR="00595A82" w:rsidRPr="00EA612D">
        <w:rPr>
          <w:rStyle w:val="a5"/>
          <w:rFonts w:asciiTheme="minorEastAsia" w:hAnsiTheme="minorEastAsia" w:cs="Times New Roman" w:hint="eastAsia"/>
          <w:b w:val="0"/>
          <w:color w:val="000000" w:themeColor="text1"/>
          <w:sz w:val="24"/>
          <w:szCs w:val="24"/>
        </w:rPr>
        <w:t>故</w:t>
      </w:r>
      <w:r w:rsidR="00D5212B" w:rsidRPr="00EA612D">
        <w:rPr>
          <w:rStyle w:val="a5"/>
          <w:rFonts w:asciiTheme="minorEastAsia" w:hAnsiTheme="minorEastAsia" w:cs="Times New Roman" w:hint="eastAsia"/>
          <w:b w:val="0"/>
          <w:color w:val="000000" w:themeColor="text1"/>
          <w:sz w:val="24"/>
          <w:szCs w:val="24"/>
        </w:rPr>
        <w:t>公司</w:t>
      </w:r>
      <w:r w:rsidRPr="00EA612D">
        <w:rPr>
          <w:rStyle w:val="a5"/>
          <w:rFonts w:asciiTheme="minorEastAsia" w:hAnsiTheme="minorEastAsia" w:cs="Times New Roman"/>
          <w:b w:val="0"/>
          <w:color w:val="000000" w:themeColor="text1"/>
          <w:sz w:val="24"/>
          <w:szCs w:val="24"/>
        </w:rPr>
        <w:t>按照谨慎性原则，按照期末余额的30%计提坏账准备。</w:t>
      </w:r>
    </w:p>
    <w:p w:rsidR="00A35D1A" w:rsidRPr="00EA612D" w:rsidRDefault="00A35D1A" w:rsidP="00F663C7">
      <w:pPr>
        <w:spacing w:beforeLines="50" w:before="156" w:afterLines="50" w:after="156" w:line="360" w:lineRule="auto"/>
        <w:ind w:leftChars="50" w:left="105" w:rightChars="50" w:right="105" w:firstLineChars="200" w:firstLine="480"/>
        <w:rPr>
          <w:rStyle w:val="a5"/>
          <w:rFonts w:asciiTheme="minorEastAsia" w:hAnsiTheme="minorEastAsia" w:cs="Times New Roman"/>
          <w:b w:val="0"/>
          <w:color w:val="000000" w:themeColor="text1"/>
          <w:sz w:val="24"/>
          <w:szCs w:val="24"/>
        </w:rPr>
      </w:pPr>
      <w:r w:rsidRPr="00EA612D">
        <w:rPr>
          <w:rStyle w:val="a5"/>
          <w:rFonts w:asciiTheme="minorEastAsia" w:hAnsiTheme="minorEastAsia" w:cs="Times New Roman"/>
          <w:b w:val="0"/>
          <w:color w:val="000000" w:themeColor="text1"/>
          <w:sz w:val="24"/>
          <w:szCs w:val="24"/>
        </w:rPr>
        <w:t>注</w:t>
      </w:r>
      <w:r w:rsidRPr="00EA612D">
        <w:rPr>
          <w:rStyle w:val="a5"/>
          <w:rFonts w:asciiTheme="minorEastAsia" w:hAnsiTheme="minorEastAsia" w:cs="宋体" w:hint="eastAsia"/>
          <w:b w:val="0"/>
          <w:color w:val="000000" w:themeColor="text1"/>
          <w:sz w:val="24"/>
          <w:szCs w:val="24"/>
        </w:rPr>
        <w:t>④</w:t>
      </w:r>
      <w:r w:rsidRPr="00EA612D">
        <w:rPr>
          <w:rStyle w:val="a5"/>
          <w:rFonts w:asciiTheme="minorEastAsia" w:hAnsiTheme="minorEastAsia" w:cs="Times New Roman"/>
          <w:b w:val="0"/>
          <w:color w:val="000000" w:themeColor="text1"/>
          <w:sz w:val="24"/>
          <w:szCs w:val="24"/>
        </w:rPr>
        <w:t>：公司之子公司大</w:t>
      </w:r>
      <w:proofErr w:type="gramStart"/>
      <w:r w:rsidRPr="00EA612D">
        <w:rPr>
          <w:rStyle w:val="a5"/>
          <w:rFonts w:asciiTheme="minorEastAsia" w:hAnsiTheme="minorEastAsia" w:cs="Times New Roman"/>
          <w:b w:val="0"/>
          <w:color w:val="000000" w:themeColor="text1"/>
          <w:sz w:val="24"/>
          <w:szCs w:val="24"/>
        </w:rPr>
        <w:t>唐软件</w:t>
      </w:r>
      <w:proofErr w:type="gramEnd"/>
      <w:r w:rsidRPr="00EA612D">
        <w:rPr>
          <w:rStyle w:val="a5"/>
          <w:rFonts w:asciiTheme="minorEastAsia" w:hAnsiTheme="minorEastAsia" w:cs="Times New Roman"/>
          <w:b w:val="0"/>
          <w:color w:val="000000" w:themeColor="text1"/>
          <w:sz w:val="24"/>
          <w:szCs w:val="24"/>
        </w:rPr>
        <w:t>技术股份有限公司应收九龙县吉利水电开发有限责任公司</w:t>
      </w:r>
      <w:r w:rsidR="001C2396" w:rsidRPr="00EA612D">
        <w:rPr>
          <w:rStyle w:val="a5"/>
          <w:rFonts w:asciiTheme="minorEastAsia" w:hAnsiTheme="minorEastAsia" w:cs="Times New Roman"/>
          <w:b w:val="0"/>
          <w:color w:val="000000" w:themeColor="text1"/>
          <w:sz w:val="24"/>
          <w:szCs w:val="24"/>
        </w:rPr>
        <w:t>7,298.89</w:t>
      </w:r>
      <w:r w:rsidR="001C2396" w:rsidRPr="00EA612D">
        <w:rPr>
          <w:rStyle w:val="a5"/>
          <w:rFonts w:asciiTheme="minorEastAsia" w:hAnsiTheme="minorEastAsia" w:cs="Times New Roman" w:hint="eastAsia"/>
          <w:b w:val="0"/>
          <w:color w:val="000000" w:themeColor="text1"/>
          <w:sz w:val="24"/>
          <w:szCs w:val="24"/>
        </w:rPr>
        <w:t>万</w:t>
      </w:r>
      <w:r w:rsidRPr="00EA612D">
        <w:rPr>
          <w:rStyle w:val="a5"/>
          <w:rFonts w:asciiTheme="minorEastAsia" w:hAnsiTheme="minorEastAsia" w:cs="Times New Roman"/>
          <w:b w:val="0"/>
          <w:color w:val="000000" w:themeColor="text1"/>
          <w:sz w:val="24"/>
          <w:szCs w:val="24"/>
        </w:rPr>
        <w:t>元。2016年6月北京市第一中级人民法院</w:t>
      </w:r>
      <w:proofErr w:type="gramStart"/>
      <w:r w:rsidRPr="00EA612D">
        <w:rPr>
          <w:rStyle w:val="a5"/>
          <w:rFonts w:asciiTheme="minorEastAsia" w:hAnsiTheme="minorEastAsia" w:cs="Times New Roman"/>
          <w:b w:val="0"/>
          <w:color w:val="000000" w:themeColor="text1"/>
          <w:sz w:val="24"/>
          <w:szCs w:val="24"/>
        </w:rPr>
        <w:t>作出</w:t>
      </w:r>
      <w:proofErr w:type="gramEnd"/>
      <w:r w:rsidRPr="00EA612D">
        <w:rPr>
          <w:rStyle w:val="a5"/>
          <w:rFonts w:asciiTheme="minorEastAsia" w:hAnsiTheme="minorEastAsia" w:cs="Times New Roman"/>
          <w:b w:val="0"/>
          <w:color w:val="000000" w:themeColor="text1"/>
          <w:sz w:val="24"/>
          <w:szCs w:val="24"/>
        </w:rPr>
        <w:t>判决要求被告九龙县吉利水电开发有限责任公司于判决生效之日起十日内支付货款及利息。因被告到期未履行，大</w:t>
      </w:r>
      <w:proofErr w:type="gramStart"/>
      <w:r w:rsidRPr="00EA612D">
        <w:rPr>
          <w:rStyle w:val="a5"/>
          <w:rFonts w:asciiTheme="minorEastAsia" w:hAnsiTheme="minorEastAsia" w:cs="Times New Roman"/>
          <w:b w:val="0"/>
          <w:color w:val="000000" w:themeColor="text1"/>
          <w:sz w:val="24"/>
          <w:szCs w:val="24"/>
        </w:rPr>
        <w:t>唐软件</w:t>
      </w:r>
      <w:proofErr w:type="gramEnd"/>
      <w:r w:rsidRPr="00EA612D">
        <w:rPr>
          <w:rStyle w:val="a5"/>
          <w:rFonts w:asciiTheme="minorEastAsia" w:hAnsiTheme="minorEastAsia" w:cs="Times New Roman"/>
          <w:b w:val="0"/>
          <w:color w:val="000000" w:themeColor="text1"/>
          <w:sz w:val="24"/>
          <w:szCs w:val="24"/>
        </w:rPr>
        <w:t>技术股份有限公司于2016年11月28日向法院申请强制执行。但通过信息查询客户已无财产可供执行，公司债权仅为普通债权，并无优先受偿权，</w:t>
      </w:r>
      <w:proofErr w:type="gramStart"/>
      <w:r w:rsidRPr="00EA612D">
        <w:rPr>
          <w:rStyle w:val="a5"/>
          <w:rFonts w:asciiTheme="minorEastAsia" w:hAnsiTheme="minorEastAsia" w:cs="Times New Roman"/>
          <w:b w:val="0"/>
          <w:color w:val="000000" w:themeColor="text1"/>
          <w:sz w:val="24"/>
          <w:szCs w:val="24"/>
        </w:rPr>
        <w:t>且律师</w:t>
      </w:r>
      <w:proofErr w:type="gramEnd"/>
      <w:r w:rsidRPr="00EA612D">
        <w:rPr>
          <w:rStyle w:val="a5"/>
          <w:rFonts w:asciiTheme="minorEastAsia" w:hAnsiTheme="minorEastAsia" w:cs="Times New Roman"/>
          <w:b w:val="0"/>
          <w:color w:val="000000" w:themeColor="text1"/>
          <w:sz w:val="24"/>
          <w:szCs w:val="24"/>
        </w:rPr>
        <w:t>专项意见</w:t>
      </w:r>
      <w:r w:rsidR="00D5212B" w:rsidRPr="00EA612D">
        <w:rPr>
          <w:rStyle w:val="a5"/>
          <w:rFonts w:asciiTheme="minorEastAsia" w:hAnsiTheme="minorEastAsia" w:cs="Times New Roman" w:hint="eastAsia"/>
          <w:b w:val="0"/>
          <w:color w:val="000000" w:themeColor="text1"/>
          <w:sz w:val="24"/>
          <w:szCs w:val="24"/>
        </w:rPr>
        <w:t>认为</w:t>
      </w:r>
      <w:r w:rsidR="00595A82" w:rsidRPr="00EA612D">
        <w:rPr>
          <w:rStyle w:val="a5"/>
          <w:rFonts w:asciiTheme="minorEastAsia" w:hAnsiTheme="minorEastAsia" w:cs="Times New Roman"/>
          <w:b w:val="0"/>
          <w:color w:val="000000" w:themeColor="text1"/>
          <w:sz w:val="24"/>
          <w:szCs w:val="24"/>
        </w:rPr>
        <w:t>收回此笔应收账款的可能性</w:t>
      </w:r>
      <w:r w:rsidR="00595A82" w:rsidRPr="00EA612D">
        <w:rPr>
          <w:rStyle w:val="a5"/>
          <w:rFonts w:asciiTheme="minorEastAsia" w:hAnsiTheme="minorEastAsia" w:cs="Times New Roman" w:hint="eastAsia"/>
          <w:b w:val="0"/>
          <w:color w:val="000000" w:themeColor="text1"/>
          <w:sz w:val="24"/>
          <w:szCs w:val="24"/>
        </w:rPr>
        <w:t>较小</w:t>
      </w:r>
      <w:r w:rsidR="00595A82" w:rsidRPr="00EA612D">
        <w:rPr>
          <w:rStyle w:val="a5"/>
          <w:rFonts w:asciiTheme="minorEastAsia" w:hAnsiTheme="minorEastAsia" w:cs="Times New Roman"/>
          <w:b w:val="0"/>
          <w:color w:val="000000" w:themeColor="text1"/>
          <w:sz w:val="24"/>
          <w:szCs w:val="24"/>
        </w:rPr>
        <w:t>，</w:t>
      </w:r>
      <w:r w:rsidRPr="00EA612D">
        <w:rPr>
          <w:rStyle w:val="a5"/>
          <w:rFonts w:asciiTheme="minorEastAsia" w:hAnsiTheme="minorEastAsia" w:cs="Times New Roman"/>
          <w:b w:val="0"/>
          <w:color w:val="000000" w:themeColor="text1"/>
          <w:sz w:val="24"/>
          <w:szCs w:val="24"/>
        </w:rPr>
        <w:t>故</w:t>
      </w:r>
      <w:r w:rsidR="00D5212B" w:rsidRPr="00EA612D">
        <w:rPr>
          <w:rStyle w:val="a5"/>
          <w:rFonts w:asciiTheme="minorEastAsia" w:hAnsiTheme="minorEastAsia" w:cs="Times New Roman" w:hint="eastAsia"/>
          <w:b w:val="0"/>
          <w:color w:val="000000" w:themeColor="text1"/>
          <w:sz w:val="24"/>
          <w:szCs w:val="24"/>
        </w:rPr>
        <w:t>公司</w:t>
      </w:r>
      <w:r w:rsidRPr="00EA612D">
        <w:rPr>
          <w:rStyle w:val="a5"/>
          <w:rFonts w:asciiTheme="minorEastAsia" w:hAnsiTheme="minorEastAsia" w:cs="Times New Roman"/>
          <w:b w:val="0"/>
          <w:color w:val="000000" w:themeColor="text1"/>
          <w:sz w:val="24"/>
          <w:szCs w:val="24"/>
        </w:rPr>
        <w:t>按照谨慎性原则100%计提坏账准备。</w:t>
      </w:r>
    </w:p>
    <w:p w:rsidR="00A35D1A" w:rsidRPr="00EA612D" w:rsidRDefault="00A35D1A" w:rsidP="00F663C7">
      <w:pPr>
        <w:spacing w:beforeLines="50" w:before="156" w:afterLines="50" w:after="156" w:line="360" w:lineRule="auto"/>
        <w:ind w:leftChars="50" w:left="105" w:rightChars="50" w:right="105" w:firstLineChars="200" w:firstLine="480"/>
        <w:rPr>
          <w:rStyle w:val="a5"/>
          <w:rFonts w:asciiTheme="minorEastAsia" w:hAnsiTheme="minorEastAsia" w:cs="Times New Roman"/>
          <w:b w:val="0"/>
          <w:color w:val="000000" w:themeColor="text1"/>
          <w:sz w:val="24"/>
          <w:szCs w:val="24"/>
        </w:rPr>
      </w:pPr>
      <w:r w:rsidRPr="00EA612D">
        <w:rPr>
          <w:rStyle w:val="a5"/>
          <w:rFonts w:asciiTheme="minorEastAsia" w:hAnsiTheme="minorEastAsia" w:cs="Times New Roman"/>
          <w:b w:val="0"/>
          <w:color w:val="000000" w:themeColor="text1"/>
          <w:sz w:val="24"/>
          <w:szCs w:val="24"/>
        </w:rPr>
        <w:t>注</w:t>
      </w:r>
      <w:r w:rsidRPr="00EA612D">
        <w:rPr>
          <w:rStyle w:val="a5"/>
          <w:rFonts w:asciiTheme="minorEastAsia" w:hAnsiTheme="minorEastAsia" w:cs="宋体" w:hint="eastAsia"/>
          <w:b w:val="0"/>
          <w:color w:val="000000" w:themeColor="text1"/>
          <w:sz w:val="24"/>
          <w:szCs w:val="24"/>
        </w:rPr>
        <w:t>⑤</w:t>
      </w:r>
      <w:r w:rsidRPr="00EA612D">
        <w:rPr>
          <w:rStyle w:val="a5"/>
          <w:rFonts w:asciiTheme="minorEastAsia" w:hAnsiTheme="minorEastAsia" w:cs="Times New Roman"/>
          <w:b w:val="0"/>
          <w:color w:val="000000" w:themeColor="text1"/>
          <w:sz w:val="24"/>
          <w:szCs w:val="24"/>
        </w:rPr>
        <w:t>：公司之子公司大</w:t>
      </w:r>
      <w:proofErr w:type="gramStart"/>
      <w:r w:rsidRPr="00EA612D">
        <w:rPr>
          <w:rStyle w:val="a5"/>
          <w:rFonts w:asciiTheme="minorEastAsia" w:hAnsiTheme="minorEastAsia" w:cs="Times New Roman"/>
          <w:b w:val="0"/>
          <w:color w:val="000000" w:themeColor="text1"/>
          <w:sz w:val="24"/>
          <w:szCs w:val="24"/>
        </w:rPr>
        <w:t>唐软件</w:t>
      </w:r>
      <w:proofErr w:type="gramEnd"/>
      <w:r w:rsidRPr="00EA612D">
        <w:rPr>
          <w:rStyle w:val="a5"/>
          <w:rFonts w:asciiTheme="minorEastAsia" w:hAnsiTheme="minorEastAsia" w:cs="Times New Roman"/>
          <w:b w:val="0"/>
          <w:color w:val="000000" w:themeColor="text1"/>
          <w:sz w:val="24"/>
          <w:szCs w:val="24"/>
        </w:rPr>
        <w:t>技术股份有限公司应收</w:t>
      </w:r>
      <w:proofErr w:type="gramStart"/>
      <w:r w:rsidRPr="00EA612D">
        <w:rPr>
          <w:rStyle w:val="a5"/>
          <w:rFonts w:asciiTheme="minorEastAsia" w:hAnsiTheme="minorEastAsia" w:cs="Times New Roman"/>
          <w:b w:val="0"/>
          <w:color w:val="000000" w:themeColor="text1"/>
          <w:sz w:val="24"/>
          <w:szCs w:val="24"/>
        </w:rPr>
        <w:t>北京益资投资</w:t>
      </w:r>
      <w:proofErr w:type="gramEnd"/>
      <w:r w:rsidRPr="00EA612D">
        <w:rPr>
          <w:rStyle w:val="a5"/>
          <w:rFonts w:asciiTheme="minorEastAsia" w:hAnsiTheme="minorEastAsia" w:cs="Times New Roman"/>
          <w:b w:val="0"/>
          <w:color w:val="000000" w:themeColor="text1"/>
          <w:sz w:val="24"/>
          <w:szCs w:val="24"/>
        </w:rPr>
        <w:t>担保有限公司</w:t>
      </w:r>
      <w:r w:rsidR="007B79F3" w:rsidRPr="00EA612D">
        <w:rPr>
          <w:rStyle w:val="a5"/>
          <w:rFonts w:asciiTheme="minorEastAsia" w:hAnsiTheme="minorEastAsia" w:cs="Times New Roman"/>
          <w:b w:val="0"/>
          <w:color w:val="000000" w:themeColor="text1"/>
          <w:sz w:val="24"/>
          <w:szCs w:val="24"/>
        </w:rPr>
        <w:t>4,274.83</w:t>
      </w:r>
      <w:r w:rsidR="007B79F3" w:rsidRPr="00EA612D">
        <w:rPr>
          <w:rStyle w:val="a5"/>
          <w:rFonts w:asciiTheme="minorEastAsia" w:hAnsiTheme="minorEastAsia" w:cs="Times New Roman" w:hint="eastAsia"/>
          <w:b w:val="0"/>
          <w:color w:val="000000" w:themeColor="text1"/>
          <w:sz w:val="24"/>
          <w:szCs w:val="24"/>
        </w:rPr>
        <w:t>万</w:t>
      </w:r>
      <w:r w:rsidRPr="00EA612D">
        <w:rPr>
          <w:rStyle w:val="a5"/>
          <w:rFonts w:asciiTheme="minorEastAsia" w:hAnsiTheme="minorEastAsia" w:cs="Times New Roman"/>
          <w:b w:val="0"/>
          <w:color w:val="000000" w:themeColor="text1"/>
          <w:sz w:val="24"/>
          <w:szCs w:val="24"/>
        </w:rPr>
        <w:t>元。2016年9月</w:t>
      </w:r>
      <w:proofErr w:type="gramStart"/>
      <w:r w:rsidRPr="00EA612D">
        <w:rPr>
          <w:rStyle w:val="a5"/>
          <w:rFonts w:asciiTheme="minorEastAsia" w:hAnsiTheme="minorEastAsia" w:cs="Times New Roman"/>
          <w:b w:val="0"/>
          <w:color w:val="000000" w:themeColor="text1"/>
          <w:sz w:val="24"/>
          <w:szCs w:val="24"/>
        </w:rPr>
        <w:t>北京益资投资</w:t>
      </w:r>
      <w:proofErr w:type="gramEnd"/>
      <w:r w:rsidRPr="00EA612D">
        <w:rPr>
          <w:rStyle w:val="a5"/>
          <w:rFonts w:asciiTheme="minorEastAsia" w:hAnsiTheme="minorEastAsia" w:cs="Times New Roman"/>
          <w:b w:val="0"/>
          <w:color w:val="000000" w:themeColor="text1"/>
          <w:sz w:val="24"/>
          <w:szCs w:val="24"/>
        </w:rPr>
        <w:t>担保有限公司被北京市工商行政管理局石景山分局吊销营业执照，</w:t>
      </w:r>
      <w:proofErr w:type="gramStart"/>
      <w:r w:rsidR="00595A82" w:rsidRPr="00EA612D">
        <w:rPr>
          <w:rStyle w:val="a5"/>
          <w:rFonts w:asciiTheme="minorEastAsia" w:hAnsiTheme="minorEastAsia" w:cs="Times New Roman" w:hint="eastAsia"/>
          <w:b w:val="0"/>
          <w:color w:val="000000" w:themeColor="text1"/>
          <w:sz w:val="24"/>
          <w:szCs w:val="24"/>
        </w:rPr>
        <w:t>且</w:t>
      </w:r>
      <w:r w:rsidR="005847EB" w:rsidRPr="00EA612D">
        <w:rPr>
          <w:rStyle w:val="a5"/>
          <w:rFonts w:asciiTheme="minorEastAsia" w:hAnsiTheme="minorEastAsia" w:cs="Times New Roman"/>
          <w:b w:val="0"/>
          <w:color w:val="000000" w:themeColor="text1"/>
          <w:sz w:val="24"/>
          <w:szCs w:val="24"/>
        </w:rPr>
        <w:t>律师</w:t>
      </w:r>
      <w:proofErr w:type="gramEnd"/>
      <w:r w:rsidR="005847EB" w:rsidRPr="00EA612D">
        <w:rPr>
          <w:rStyle w:val="a5"/>
          <w:rFonts w:asciiTheme="minorEastAsia" w:hAnsiTheme="minorEastAsia" w:cs="Times New Roman"/>
          <w:b w:val="0"/>
          <w:color w:val="000000" w:themeColor="text1"/>
          <w:sz w:val="24"/>
          <w:szCs w:val="24"/>
        </w:rPr>
        <w:t>专项意见</w:t>
      </w:r>
      <w:r w:rsidR="00D5212B" w:rsidRPr="00EA612D">
        <w:rPr>
          <w:rStyle w:val="a5"/>
          <w:rFonts w:asciiTheme="minorEastAsia" w:hAnsiTheme="minorEastAsia" w:cs="Times New Roman" w:hint="eastAsia"/>
          <w:b w:val="0"/>
          <w:color w:val="000000" w:themeColor="text1"/>
          <w:sz w:val="24"/>
          <w:szCs w:val="24"/>
        </w:rPr>
        <w:t>认为</w:t>
      </w:r>
      <w:r w:rsidR="00845AF9" w:rsidRPr="00EA612D">
        <w:rPr>
          <w:rStyle w:val="a5"/>
          <w:rFonts w:asciiTheme="minorEastAsia" w:hAnsiTheme="minorEastAsia" w:cs="Times New Roman"/>
          <w:b w:val="0"/>
          <w:color w:val="000000" w:themeColor="text1"/>
          <w:sz w:val="24"/>
          <w:szCs w:val="24"/>
        </w:rPr>
        <w:t>收回此笔应收账款的可能性</w:t>
      </w:r>
      <w:r w:rsidR="00845AF9" w:rsidRPr="00EA612D">
        <w:rPr>
          <w:rStyle w:val="a5"/>
          <w:rFonts w:asciiTheme="minorEastAsia" w:hAnsiTheme="minorEastAsia" w:cs="Times New Roman" w:hint="eastAsia"/>
          <w:b w:val="0"/>
          <w:color w:val="000000" w:themeColor="text1"/>
          <w:sz w:val="24"/>
          <w:szCs w:val="24"/>
        </w:rPr>
        <w:t>较小</w:t>
      </w:r>
      <w:r w:rsidR="00845AF9" w:rsidRPr="00EA612D">
        <w:rPr>
          <w:rStyle w:val="a5"/>
          <w:rFonts w:asciiTheme="minorEastAsia" w:hAnsiTheme="minorEastAsia" w:cs="Times New Roman"/>
          <w:b w:val="0"/>
          <w:color w:val="000000" w:themeColor="text1"/>
          <w:sz w:val="24"/>
          <w:szCs w:val="24"/>
        </w:rPr>
        <w:t>，</w:t>
      </w:r>
      <w:r w:rsidRPr="00EA612D">
        <w:rPr>
          <w:rStyle w:val="a5"/>
          <w:rFonts w:asciiTheme="minorEastAsia" w:hAnsiTheme="minorEastAsia" w:cs="Times New Roman"/>
          <w:b w:val="0"/>
          <w:color w:val="000000" w:themeColor="text1"/>
          <w:sz w:val="24"/>
          <w:szCs w:val="24"/>
        </w:rPr>
        <w:t>故</w:t>
      </w:r>
      <w:r w:rsidR="00D5212B" w:rsidRPr="00EA612D">
        <w:rPr>
          <w:rStyle w:val="a5"/>
          <w:rFonts w:asciiTheme="minorEastAsia" w:hAnsiTheme="minorEastAsia" w:cs="Times New Roman" w:hint="eastAsia"/>
          <w:b w:val="0"/>
          <w:color w:val="000000" w:themeColor="text1"/>
          <w:sz w:val="24"/>
          <w:szCs w:val="24"/>
        </w:rPr>
        <w:t>公司</w:t>
      </w:r>
      <w:r w:rsidRPr="00EA612D">
        <w:rPr>
          <w:rStyle w:val="a5"/>
          <w:rFonts w:asciiTheme="minorEastAsia" w:hAnsiTheme="minorEastAsia" w:cs="Times New Roman"/>
          <w:b w:val="0"/>
          <w:color w:val="000000" w:themeColor="text1"/>
          <w:sz w:val="24"/>
          <w:szCs w:val="24"/>
        </w:rPr>
        <w:t>按照谨慎性原则100%</w:t>
      </w:r>
      <w:r w:rsidR="007B79F3" w:rsidRPr="00EA612D">
        <w:rPr>
          <w:rStyle w:val="a5"/>
          <w:rFonts w:asciiTheme="minorEastAsia" w:hAnsiTheme="minorEastAsia" w:cs="Times New Roman" w:hint="eastAsia"/>
          <w:b w:val="0"/>
          <w:color w:val="000000" w:themeColor="text1"/>
          <w:sz w:val="24"/>
          <w:szCs w:val="24"/>
        </w:rPr>
        <w:t>计提</w:t>
      </w:r>
      <w:r w:rsidRPr="00EA612D">
        <w:rPr>
          <w:rStyle w:val="a5"/>
          <w:rFonts w:asciiTheme="minorEastAsia" w:hAnsiTheme="minorEastAsia" w:cs="Times New Roman"/>
          <w:b w:val="0"/>
          <w:color w:val="000000" w:themeColor="text1"/>
          <w:sz w:val="24"/>
          <w:szCs w:val="24"/>
        </w:rPr>
        <w:t>坏账准备。</w:t>
      </w:r>
    </w:p>
    <w:p w:rsidR="00A35D1A" w:rsidRPr="00EA612D" w:rsidRDefault="00A35D1A" w:rsidP="00F663C7">
      <w:pPr>
        <w:spacing w:beforeLines="50" w:before="156" w:afterLines="50" w:after="156" w:line="360" w:lineRule="auto"/>
        <w:ind w:leftChars="50" w:left="105" w:rightChars="50" w:right="105" w:firstLineChars="200" w:firstLine="480"/>
        <w:rPr>
          <w:rStyle w:val="a5"/>
          <w:rFonts w:asciiTheme="minorEastAsia" w:hAnsiTheme="minorEastAsia" w:cs="Times New Roman"/>
          <w:b w:val="0"/>
          <w:color w:val="000000" w:themeColor="text1"/>
          <w:sz w:val="24"/>
          <w:szCs w:val="24"/>
        </w:rPr>
      </w:pPr>
      <w:r w:rsidRPr="00EA612D">
        <w:rPr>
          <w:rStyle w:val="a5"/>
          <w:rFonts w:asciiTheme="minorEastAsia" w:hAnsiTheme="minorEastAsia" w:cs="Times New Roman"/>
          <w:b w:val="0"/>
          <w:color w:val="000000" w:themeColor="text1"/>
          <w:sz w:val="24"/>
          <w:szCs w:val="24"/>
        </w:rPr>
        <w:t>2016 年末公司应收账款计提坏账准备金额加大，主要是根据2016年度客户实际回款和偿付能力</w:t>
      </w:r>
      <w:r w:rsidR="007B79F3" w:rsidRPr="00EA612D">
        <w:rPr>
          <w:rStyle w:val="a5"/>
          <w:rFonts w:asciiTheme="minorEastAsia" w:hAnsiTheme="minorEastAsia" w:cs="Times New Roman" w:hint="eastAsia"/>
          <w:b w:val="0"/>
          <w:color w:val="000000" w:themeColor="text1"/>
          <w:sz w:val="24"/>
          <w:szCs w:val="24"/>
        </w:rPr>
        <w:t>，</w:t>
      </w:r>
      <w:r w:rsidRPr="00EA612D">
        <w:rPr>
          <w:rStyle w:val="a5"/>
          <w:rFonts w:asciiTheme="minorEastAsia" w:hAnsiTheme="minorEastAsia" w:cs="Times New Roman"/>
          <w:b w:val="0"/>
          <w:color w:val="000000" w:themeColor="text1"/>
          <w:sz w:val="24"/>
          <w:szCs w:val="24"/>
        </w:rPr>
        <w:t>预计未来可收回金额</w:t>
      </w:r>
      <w:r w:rsidR="007B79F3" w:rsidRPr="00EA612D">
        <w:rPr>
          <w:rStyle w:val="a5"/>
          <w:rFonts w:asciiTheme="minorEastAsia" w:hAnsiTheme="minorEastAsia" w:cs="Times New Roman" w:hint="eastAsia"/>
          <w:b w:val="0"/>
          <w:color w:val="000000" w:themeColor="text1"/>
          <w:sz w:val="24"/>
          <w:szCs w:val="24"/>
        </w:rPr>
        <w:t>，根据公司会计政策，合理计提坏账准备</w:t>
      </w:r>
      <w:r w:rsidRPr="00EA612D">
        <w:rPr>
          <w:rStyle w:val="a5"/>
          <w:rFonts w:asciiTheme="minorEastAsia" w:hAnsiTheme="minorEastAsia" w:cs="Times New Roman"/>
          <w:b w:val="0"/>
          <w:color w:val="000000" w:themeColor="text1"/>
          <w:sz w:val="24"/>
          <w:szCs w:val="24"/>
        </w:rPr>
        <w:t>。</w:t>
      </w:r>
    </w:p>
    <w:p w:rsidR="00A35D1A" w:rsidRPr="00EA612D" w:rsidRDefault="00A35D1A" w:rsidP="00F663C7">
      <w:pPr>
        <w:spacing w:beforeLines="50" w:before="156" w:afterLines="50" w:after="156" w:line="360" w:lineRule="auto"/>
        <w:ind w:leftChars="50" w:left="105" w:rightChars="50" w:right="105" w:firstLineChars="200" w:firstLine="482"/>
        <w:rPr>
          <w:rStyle w:val="a5"/>
          <w:rFonts w:asciiTheme="minorEastAsia" w:hAnsiTheme="minorEastAsia" w:cs="Times New Roman"/>
          <w:color w:val="000000" w:themeColor="text1"/>
          <w:sz w:val="24"/>
          <w:szCs w:val="24"/>
        </w:rPr>
      </w:pPr>
      <w:r w:rsidRPr="00EA612D">
        <w:rPr>
          <w:rStyle w:val="a5"/>
          <w:rFonts w:asciiTheme="minorEastAsia" w:hAnsiTheme="minorEastAsia" w:cs="Times New Roman"/>
          <w:color w:val="000000" w:themeColor="text1"/>
          <w:sz w:val="24"/>
          <w:szCs w:val="24"/>
        </w:rPr>
        <w:t>会计师意见：</w:t>
      </w:r>
    </w:p>
    <w:p w:rsidR="00F13A53" w:rsidRPr="00EA612D" w:rsidRDefault="009417B2" w:rsidP="002765B3">
      <w:pPr>
        <w:spacing w:beforeLines="50" w:before="156" w:afterLines="50" w:after="156" w:line="360" w:lineRule="auto"/>
        <w:ind w:leftChars="50" w:left="105" w:rightChars="50" w:right="105" w:firstLineChars="200" w:firstLine="480"/>
        <w:jc w:val="left"/>
        <w:rPr>
          <w:rStyle w:val="a5"/>
          <w:rFonts w:asciiTheme="minorEastAsia" w:hAnsiTheme="minorEastAsia" w:cs="Times New Roman"/>
          <w:b w:val="0"/>
          <w:color w:val="000000" w:themeColor="text1"/>
          <w:sz w:val="24"/>
          <w:szCs w:val="24"/>
        </w:rPr>
      </w:pPr>
      <w:r w:rsidRPr="00EA612D">
        <w:rPr>
          <w:rStyle w:val="a5"/>
          <w:rFonts w:asciiTheme="minorEastAsia" w:hAnsiTheme="minorEastAsia" w:cs="Times New Roman" w:hint="eastAsia"/>
          <w:b w:val="0"/>
          <w:color w:val="000000" w:themeColor="text1"/>
          <w:sz w:val="24"/>
          <w:szCs w:val="24"/>
        </w:rPr>
        <w:t>我们获取了公司应收账款坏账准备明细表，复核其账龄划分及计算准确性，并检查计提坏账准备是否符合公司披露的会计政策，本期有无发生变更，对采</w:t>
      </w:r>
      <w:r w:rsidRPr="00EA612D">
        <w:rPr>
          <w:rStyle w:val="a5"/>
          <w:rFonts w:asciiTheme="minorEastAsia" w:hAnsiTheme="minorEastAsia" w:cs="Times New Roman" w:hint="eastAsia"/>
          <w:b w:val="0"/>
          <w:color w:val="000000" w:themeColor="text1"/>
          <w:sz w:val="24"/>
          <w:szCs w:val="24"/>
        </w:rPr>
        <w:lastRenderedPageBreak/>
        <w:t>用单独计提法计提坏账准备的应收账款复核计提依据，必要时利用了专家工作，获取律师出具的法律意见书，评价公司坏账准备计提比例是否合理。我们认为：公司本期应收账款账龄划分准确，坏账准备计算准确，对于单项认定的应收账款计提依据充分，符合公司的实际情况及企业会计准则的规定。</w:t>
      </w:r>
    </w:p>
    <w:p w:rsidR="00A35D1A" w:rsidRPr="00EA612D" w:rsidRDefault="00A35D1A" w:rsidP="00F663C7">
      <w:pPr>
        <w:spacing w:beforeLines="50" w:before="156" w:afterLines="50" w:after="156" w:line="360" w:lineRule="auto"/>
        <w:ind w:leftChars="50" w:left="105" w:rightChars="50" w:right="105" w:firstLineChars="200" w:firstLine="482"/>
        <w:rPr>
          <w:rStyle w:val="a5"/>
          <w:rFonts w:asciiTheme="minorEastAsia" w:hAnsiTheme="minorEastAsia" w:cs="Times New Roman"/>
          <w:color w:val="000000" w:themeColor="text1"/>
          <w:sz w:val="24"/>
          <w:szCs w:val="24"/>
        </w:rPr>
      </w:pPr>
      <w:r w:rsidRPr="00EA612D">
        <w:rPr>
          <w:rStyle w:val="a5"/>
          <w:rFonts w:asciiTheme="minorEastAsia" w:hAnsiTheme="minorEastAsia" w:cs="Times New Roman"/>
          <w:color w:val="000000" w:themeColor="text1"/>
          <w:sz w:val="24"/>
          <w:szCs w:val="24"/>
        </w:rPr>
        <w:t>2.预付账款坏账准备。年报披露，本期预付账款余额为 5.6 亿元，计提坏账准备5377万元；2015年预付账款余额为7.6亿元，计提坏账准备1894万元。请结合主要预付账款发生的具体变化，补充披露本期计提坏账准备的主要考虑，2016年计提比例大幅高于2015年度的原因、依据及合理性。请会计师核查并发表意见。</w:t>
      </w:r>
    </w:p>
    <w:p w:rsidR="00A35D1A" w:rsidRPr="00EA612D" w:rsidRDefault="00A35D1A" w:rsidP="00F663C7">
      <w:pPr>
        <w:spacing w:beforeLines="50" w:before="156" w:afterLines="50" w:after="156" w:line="360" w:lineRule="auto"/>
        <w:ind w:leftChars="50" w:left="105" w:rightChars="50" w:right="105" w:firstLineChars="200" w:firstLine="482"/>
        <w:rPr>
          <w:rStyle w:val="a5"/>
          <w:rFonts w:asciiTheme="minorEastAsia" w:hAnsiTheme="minorEastAsia" w:cs="Times New Roman"/>
          <w:color w:val="000000" w:themeColor="text1"/>
          <w:sz w:val="24"/>
          <w:szCs w:val="24"/>
        </w:rPr>
      </w:pPr>
      <w:r w:rsidRPr="00EA612D">
        <w:rPr>
          <w:rStyle w:val="a5"/>
          <w:rFonts w:asciiTheme="minorEastAsia" w:hAnsiTheme="minorEastAsia" w:cs="Times New Roman"/>
          <w:color w:val="000000" w:themeColor="text1"/>
          <w:sz w:val="24"/>
          <w:szCs w:val="24"/>
        </w:rPr>
        <w:t>公司回复：</w:t>
      </w:r>
    </w:p>
    <w:p w:rsidR="00A35D1A" w:rsidRPr="00EA612D" w:rsidRDefault="00F530DF" w:rsidP="00F663C7">
      <w:pPr>
        <w:spacing w:beforeLines="50" w:before="156" w:afterLines="50" w:after="156" w:line="360" w:lineRule="auto"/>
        <w:ind w:leftChars="50" w:left="105" w:rightChars="50" w:right="105" w:firstLineChars="200" w:firstLine="480"/>
        <w:rPr>
          <w:rStyle w:val="a5"/>
          <w:rFonts w:asciiTheme="minorEastAsia" w:hAnsiTheme="minorEastAsia" w:cs="Times New Roman"/>
          <w:b w:val="0"/>
          <w:color w:val="000000" w:themeColor="text1"/>
          <w:sz w:val="24"/>
          <w:szCs w:val="24"/>
        </w:rPr>
      </w:pPr>
      <w:r w:rsidRPr="00EA612D">
        <w:rPr>
          <w:rStyle w:val="a5"/>
          <w:rFonts w:asciiTheme="minorEastAsia" w:hAnsiTheme="minorEastAsia" w:cs="Times New Roman" w:hint="eastAsia"/>
          <w:b w:val="0"/>
          <w:color w:val="000000" w:themeColor="text1"/>
          <w:sz w:val="24"/>
          <w:szCs w:val="24"/>
        </w:rPr>
        <w:t>（1）</w:t>
      </w:r>
      <w:r w:rsidR="00A35D1A" w:rsidRPr="00EA612D">
        <w:rPr>
          <w:rStyle w:val="a5"/>
          <w:rFonts w:asciiTheme="minorEastAsia" w:hAnsiTheme="minorEastAsia" w:cs="Times New Roman"/>
          <w:b w:val="0"/>
          <w:color w:val="000000" w:themeColor="text1"/>
          <w:sz w:val="24"/>
          <w:szCs w:val="24"/>
        </w:rPr>
        <w:t>结合主要预付账款发生的具体变化，补充披露本期计提坏账准备的主要考虑</w:t>
      </w:r>
    </w:p>
    <w:p w:rsidR="00A35D1A" w:rsidRPr="00EA612D" w:rsidRDefault="00A35D1A" w:rsidP="00F663C7">
      <w:pPr>
        <w:spacing w:beforeLines="50" w:before="156" w:afterLines="50" w:after="156" w:line="360" w:lineRule="auto"/>
        <w:ind w:leftChars="50" w:left="105" w:rightChars="50" w:right="105" w:firstLineChars="200" w:firstLine="480"/>
        <w:rPr>
          <w:rStyle w:val="a5"/>
          <w:rFonts w:asciiTheme="minorEastAsia" w:hAnsiTheme="minorEastAsia" w:cs="Times New Roman"/>
          <w:b w:val="0"/>
          <w:color w:val="000000" w:themeColor="text1"/>
          <w:sz w:val="24"/>
          <w:szCs w:val="24"/>
        </w:rPr>
      </w:pPr>
      <w:r w:rsidRPr="00EA612D">
        <w:rPr>
          <w:rStyle w:val="a5"/>
          <w:rFonts w:asciiTheme="minorEastAsia" w:hAnsiTheme="minorEastAsia" w:cs="Times New Roman"/>
          <w:b w:val="0"/>
          <w:color w:val="000000" w:themeColor="text1"/>
          <w:sz w:val="24"/>
          <w:szCs w:val="24"/>
        </w:rPr>
        <w:t>公司预付账款坏账准备</w:t>
      </w:r>
      <w:r w:rsidR="006302B1" w:rsidRPr="00EA612D">
        <w:rPr>
          <w:rStyle w:val="a5"/>
          <w:rFonts w:asciiTheme="minorEastAsia" w:hAnsiTheme="minorEastAsia" w:cs="Times New Roman" w:hint="eastAsia"/>
          <w:b w:val="0"/>
          <w:color w:val="000000" w:themeColor="text1"/>
          <w:sz w:val="24"/>
          <w:szCs w:val="24"/>
        </w:rPr>
        <w:t>计提</w:t>
      </w:r>
      <w:r w:rsidRPr="00EA612D">
        <w:rPr>
          <w:rStyle w:val="a5"/>
          <w:rFonts w:asciiTheme="minorEastAsia" w:hAnsiTheme="minorEastAsia" w:cs="Times New Roman"/>
          <w:b w:val="0"/>
          <w:color w:val="000000" w:themeColor="text1"/>
          <w:sz w:val="24"/>
          <w:szCs w:val="24"/>
        </w:rPr>
        <w:t>政策同问题1中应收款项坏账政策描述，2016年末公司预付账款账龄与年初对比情况如下：</w:t>
      </w:r>
    </w:p>
    <w:p w:rsidR="00A35D1A" w:rsidRPr="00EA612D" w:rsidRDefault="00A35D1A" w:rsidP="00A35D1A">
      <w:pPr>
        <w:jc w:val="right"/>
        <w:rPr>
          <w:rStyle w:val="a5"/>
          <w:rFonts w:ascii="Times New Roman" w:hAnsi="Times New Roman" w:cs="Times New Roman"/>
          <w:b w:val="0"/>
          <w:color w:val="000000" w:themeColor="text1"/>
          <w:szCs w:val="21"/>
        </w:rPr>
      </w:pPr>
      <w:r w:rsidRPr="00EA612D">
        <w:rPr>
          <w:rStyle w:val="a5"/>
          <w:rFonts w:ascii="Times New Roman" w:hAnsi="Times New Roman" w:cs="Times New Roman"/>
          <w:b w:val="0"/>
          <w:color w:val="000000" w:themeColor="text1"/>
          <w:szCs w:val="21"/>
        </w:rPr>
        <w:t>单位：人民币万元</w:t>
      </w:r>
    </w:p>
    <w:tbl>
      <w:tblPr>
        <w:tblW w:w="5000" w:type="pct"/>
        <w:tblBorders>
          <w:top w:val="single" w:sz="12" w:space="0" w:color="auto"/>
          <w:bottom w:val="single" w:sz="12" w:space="0" w:color="auto"/>
          <w:insideH w:val="dotted" w:sz="4" w:space="0" w:color="auto"/>
          <w:insideV w:val="dotted" w:sz="4" w:space="0" w:color="auto"/>
        </w:tblBorders>
        <w:tblCellMar>
          <w:top w:w="28" w:type="dxa"/>
          <w:bottom w:w="28" w:type="dxa"/>
        </w:tblCellMar>
        <w:tblLook w:val="04A0" w:firstRow="1" w:lastRow="0" w:firstColumn="1" w:lastColumn="0" w:noHBand="0" w:noVBand="1"/>
      </w:tblPr>
      <w:tblGrid>
        <w:gridCol w:w="3557"/>
        <w:gridCol w:w="2246"/>
        <w:gridCol w:w="2719"/>
      </w:tblGrid>
      <w:tr w:rsidR="00835FFC" w:rsidRPr="00EA612D" w:rsidTr="00A35D1A">
        <w:trPr>
          <w:trHeight w:val="423"/>
          <w:tblHeader/>
        </w:trPr>
        <w:tc>
          <w:tcPr>
            <w:tcW w:w="2087" w:type="pct"/>
            <w:shd w:val="clear" w:color="auto" w:fill="auto"/>
            <w:vAlign w:val="center"/>
            <w:hideMark/>
          </w:tcPr>
          <w:p w:rsidR="00A35D1A" w:rsidRPr="00EA612D" w:rsidRDefault="00A35D1A" w:rsidP="00A35D1A">
            <w:pPr>
              <w:adjustRightInd w:val="0"/>
              <w:snapToGrid w:val="0"/>
              <w:spacing w:line="200" w:lineRule="atLeast"/>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账龄</w:t>
            </w:r>
          </w:p>
        </w:tc>
        <w:tc>
          <w:tcPr>
            <w:tcW w:w="1318" w:type="pct"/>
            <w:shd w:val="clear" w:color="auto" w:fill="auto"/>
            <w:noWrap/>
            <w:vAlign w:val="center"/>
            <w:hideMark/>
          </w:tcPr>
          <w:p w:rsidR="00A35D1A" w:rsidRPr="00EA612D" w:rsidRDefault="00A35D1A" w:rsidP="00A35D1A">
            <w:pPr>
              <w:adjustRightInd w:val="0"/>
              <w:snapToGrid w:val="0"/>
              <w:spacing w:line="200" w:lineRule="atLeast"/>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期末余额</w:t>
            </w:r>
          </w:p>
        </w:tc>
        <w:tc>
          <w:tcPr>
            <w:tcW w:w="1595" w:type="pct"/>
            <w:shd w:val="clear" w:color="auto" w:fill="auto"/>
            <w:vAlign w:val="center"/>
          </w:tcPr>
          <w:p w:rsidR="00A35D1A" w:rsidRPr="00EA612D" w:rsidRDefault="00A35D1A" w:rsidP="00A35D1A">
            <w:pPr>
              <w:adjustRightInd w:val="0"/>
              <w:snapToGrid w:val="0"/>
              <w:spacing w:line="200" w:lineRule="atLeast"/>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年初余额</w:t>
            </w:r>
          </w:p>
        </w:tc>
      </w:tr>
      <w:tr w:rsidR="00835FFC" w:rsidRPr="00EA612D" w:rsidTr="00A35D1A">
        <w:trPr>
          <w:trHeight w:val="269"/>
        </w:trPr>
        <w:tc>
          <w:tcPr>
            <w:tcW w:w="2087" w:type="pct"/>
            <w:shd w:val="clear" w:color="auto" w:fill="auto"/>
            <w:vAlign w:val="center"/>
            <w:hideMark/>
          </w:tcPr>
          <w:p w:rsidR="00A35D1A" w:rsidRPr="00EA612D" w:rsidRDefault="00A35D1A" w:rsidP="00A35D1A">
            <w:pPr>
              <w:adjustRightInd w:val="0"/>
              <w:snapToGrid w:val="0"/>
              <w:spacing w:line="200" w:lineRule="atLeas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1</w:t>
            </w:r>
            <w:r w:rsidRPr="00EA612D">
              <w:rPr>
                <w:rFonts w:ascii="Times New Roman" w:hAnsi="Times New Roman" w:cs="Times New Roman"/>
                <w:color w:val="000000" w:themeColor="text1"/>
                <w:sz w:val="16"/>
                <w:szCs w:val="16"/>
              </w:rPr>
              <w:t>年以内（含</w:t>
            </w:r>
            <w:r w:rsidRPr="00EA612D">
              <w:rPr>
                <w:rFonts w:ascii="Times New Roman" w:hAnsi="Times New Roman" w:cs="Times New Roman"/>
                <w:color w:val="000000" w:themeColor="text1"/>
                <w:sz w:val="16"/>
                <w:szCs w:val="16"/>
              </w:rPr>
              <w:t>1</w:t>
            </w:r>
            <w:r w:rsidRPr="00EA612D">
              <w:rPr>
                <w:rFonts w:ascii="Times New Roman" w:hAnsi="Times New Roman" w:cs="Times New Roman"/>
                <w:color w:val="000000" w:themeColor="text1"/>
                <w:sz w:val="16"/>
                <w:szCs w:val="16"/>
              </w:rPr>
              <w:t>年）</w:t>
            </w:r>
          </w:p>
        </w:tc>
        <w:tc>
          <w:tcPr>
            <w:tcW w:w="1318" w:type="pct"/>
            <w:shd w:val="clear" w:color="auto" w:fill="auto"/>
            <w:noWrap/>
            <w:vAlign w:val="bottom"/>
          </w:tcPr>
          <w:p w:rsidR="00A35D1A" w:rsidRPr="00EA612D" w:rsidRDefault="00A35D1A" w:rsidP="00A35D1A">
            <w:pPr>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 xml:space="preserve">  15,878.89 </w:t>
            </w:r>
          </w:p>
        </w:tc>
        <w:tc>
          <w:tcPr>
            <w:tcW w:w="1595" w:type="pct"/>
            <w:shd w:val="clear" w:color="auto" w:fill="auto"/>
            <w:noWrap/>
            <w:vAlign w:val="bottom"/>
          </w:tcPr>
          <w:p w:rsidR="00A35D1A" w:rsidRPr="00EA612D" w:rsidRDefault="00A35D1A" w:rsidP="00A35D1A">
            <w:pPr>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 xml:space="preserve">    45,596.49 </w:t>
            </w:r>
          </w:p>
        </w:tc>
      </w:tr>
      <w:tr w:rsidR="00835FFC" w:rsidRPr="00EA612D" w:rsidTr="00A35D1A">
        <w:trPr>
          <w:trHeight w:val="284"/>
        </w:trPr>
        <w:tc>
          <w:tcPr>
            <w:tcW w:w="2087" w:type="pct"/>
            <w:shd w:val="clear" w:color="auto" w:fill="auto"/>
            <w:vAlign w:val="center"/>
            <w:hideMark/>
          </w:tcPr>
          <w:p w:rsidR="00A35D1A" w:rsidRPr="00EA612D" w:rsidRDefault="00A35D1A" w:rsidP="00A35D1A">
            <w:pPr>
              <w:adjustRightInd w:val="0"/>
              <w:snapToGrid w:val="0"/>
              <w:spacing w:line="200" w:lineRule="atLeas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1</w:t>
            </w:r>
            <w:r w:rsidRPr="00EA612D">
              <w:rPr>
                <w:rFonts w:ascii="Times New Roman" w:hAnsi="Times New Roman" w:cs="Times New Roman"/>
                <w:color w:val="000000" w:themeColor="text1"/>
                <w:sz w:val="16"/>
                <w:szCs w:val="16"/>
              </w:rPr>
              <w:t>－</w:t>
            </w:r>
            <w:r w:rsidRPr="00EA612D">
              <w:rPr>
                <w:rFonts w:ascii="Times New Roman" w:hAnsi="Times New Roman" w:cs="Times New Roman"/>
                <w:color w:val="000000" w:themeColor="text1"/>
                <w:sz w:val="16"/>
                <w:szCs w:val="16"/>
              </w:rPr>
              <w:t>2</w:t>
            </w:r>
            <w:r w:rsidRPr="00EA612D">
              <w:rPr>
                <w:rFonts w:ascii="Times New Roman" w:hAnsi="Times New Roman" w:cs="Times New Roman"/>
                <w:color w:val="000000" w:themeColor="text1"/>
                <w:sz w:val="16"/>
                <w:szCs w:val="16"/>
              </w:rPr>
              <w:t>年（含</w:t>
            </w:r>
            <w:r w:rsidRPr="00EA612D">
              <w:rPr>
                <w:rFonts w:ascii="Times New Roman" w:hAnsi="Times New Roman" w:cs="Times New Roman"/>
                <w:color w:val="000000" w:themeColor="text1"/>
                <w:sz w:val="16"/>
                <w:szCs w:val="16"/>
              </w:rPr>
              <w:t>2</w:t>
            </w:r>
            <w:r w:rsidRPr="00EA612D">
              <w:rPr>
                <w:rFonts w:ascii="Times New Roman" w:hAnsi="Times New Roman" w:cs="Times New Roman"/>
                <w:color w:val="000000" w:themeColor="text1"/>
                <w:sz w:val="16"/>
                <w:szCs w:val="16"/>
              </w:rPr>
              <w:t>年）</w:t>
            </w:r>
          </w:p>
        </w:tc>
        <w:tc>
          <w:tcPr>
            <w:tcW w:w="1318" w:type="pct"/>
            <w:shd w:val="clear" w:color="auto" w:fill="auto"/>
            <w:noWrap/>
            <w:vAlign w:val="bottom"/>
          </w:tcPr>
          <w:p w:rsidR="00A35D1A" w:rsidRPr="00EA612D" w:rsidRDefault="00A35D1A" w:rsidP="00A35D1A">
            <w:pPr>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 xml:space="preserve">  13,655.14 </w:t>
            </w:r>
          </w:p>
        </w:tc>
        <w:tc>
          <w:tcPr>
            <w:tcW w:w="1595" w:type="pct"/>
            <w:shd w:val="clear" w:color="auto" w:fill="auto"/>
            <w:noWrap/>
            <w:vAlign w:val="bottom"/>
          </w:tcPr>
          <w:p w:rsidR="00A35D1A" w:rsidRPr="00EA612D" w:rsidRDefault="00A35D1A" w:rsidP="00A35D1A">
            <w:pPr>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 xml:space="preserve">     5,603.92 </w:t>
            </w:r>
          </w:p>
        </w:tc>
      </w:tr>
      <w:tr w:rsidR="00835FFC" w:rsidRPr="00EA612D" w:rsidTr="00A35D1A">
        <w:trPr>
          <w:trHeight w:val="284"/>
        </w:trPr>
        <w:tc>
          <w:tcPr>
            <w:tcW w:w="2087" w:type="pct"/>
            <w:shd w:val="clear" w:color="auto" w:fill="auto"/>
            <w:vAlign w:val="center"/>
          </w:tcPr>
          <w:p w:rsidR="00A35D1A" w:rsidRPr="00EA612D" w:rsidRDefault="00A35D1A" w:rsidP="00A35D1A">
            <w:pPr>
              <w:adjustRightInd w:val="0"/>
              <w:snapToGrid w:val="0"/>
              <w:spacing w:line="200" w:lineRule="atLeas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2</w:t>
            </w:r>
            <w:r w:rsidRPr="00EA612D">
              <w:rPr>
                <w:rFonts w:ascii="Times New Roman" w:hAnsi="Times New Roman" w:cs="Times New Roman"/>
                <w:color w:val="000000" w:themeColor="text1"/>
                <w:sz w:val="16"/>
                <w:szCs w:val="16"/>
              </w:rPr>
              <w:t>－</w:t>
            </w:r>
            <w:r w:rsidRPr="00EA612D">
              <w:rPr>
                <w:rFonts w:ascii="Times New Roman" w:hAnsi="Times New Roman" w:cs="Times New Roman"/>
                <w:color w:val="000000" w:themeColor="text1"/>
                <w:sz w:val="16"/>
                <w:szCs w:val="16"/>
              </w:rPr>
              <w:t>3</w:t>
            </w:r>
            <w:r w:rsidRPr="00EA612D">
              <w:rPr>
                <w:rFonts w:ascii="Times New Roman" w:hAnsi="Times New Roman" w:cs="Times New Roman"/>
                <w:color w:val="000000" w:themeColor="text1"/>
                <w:sz w:val="16"/>
                <w:szCs w:val="16"/>
              </w:rPr>
              <w:t>年（含</w:t>
            </w:r>
            <w:r w:rsidRPr="00EA612D">
              <w:rPr>
                <w:rFonts w:ascii="Times New Roman" w:hAnsi="Times New Roman" w:cs="Times New Roman"/>
                <w:color w:val="000000" w:themeColor="text1"/>
                <w:sz w:val="16"/>
                <w:szCs w:val="16"/>
              </w:rPr>
              <w:t>3</w:t>
            </w:r>
            <w:r w:rsidRPr="00EA612D">
              <w:rPr>
                <w:rFonts w:ascii="Times New Roman" w:hAnsi="Times New Roman" w:cs="Times New Roman"/>
                <w:color w:val="000000" w:themeColor="text1"/>
                <w:sz w:val="16"/>
                <w:szCs w:val="16"/>
              </w:rPr>
              <w:t>年）</w:t>
            </w:r>
          </w:p>
        </w:tc>
        <w:tc>
          <w:tcPr>
            <w:tcW w:w="1318" w:type="pct"/>
            <w:shd w:val="clear" w:color="auto" w:fill="auto"/>
            <w:noWrap/>
            <w:vAlign w:val="bottom"/>
          </w:tcPr>
          <w:p w:rsidR="00A35D1A" w:rsidRPr="00EA612D" w:rsidRDefault="00A35D1A" w:rsidP="00A35D1A">
            <w:pPr>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 xml:space="preserve">   3,103.30 </w:t>
            </w:r>
          </w:p>
        </w:tc>
        <w:tc>
          <w:tcPr>
            <w:tcW w:w="1595" w:type="pct"/>
            <w:shd w:val="clear" w:color="auto" w:fill="auto"/>
            <w:noWrap/>
            <w:vAlign w:val="bottom"/>
          </w:tcPr>
          <w:p w:rsidR="00A35D1A" w:rsidRPr="00EA612D" w:rsidRDefault="00A35D1A" w:rsidP="00A35D1A">
            <w:pPr>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 xml:space="preserve">     2,910.15 </w:t>
            </w:r>
          </w:p>
        </w:tc>
      </w:tr>
      <w:tr w:rsidR="00835FFC" w:rsidRPr="00EA612D" w:rsidTr="00A35D1A">
        <w:trPr>
          <w:trHeight w:val="284"/>
        </w:trPr>
        <w:tc>
          <w:tcPr>
            <w:tcW w:w="2087" w:type="pct"/>
            <w:shd w:val="clear" w:color="auto" w:fill="auto"/>
            <w:vAlign w:val="center"/>
          </w:tcPr>
          <w:p w:rsidR="00A35D1A" w:rsidRPr="00EA612D" w:rsidRDefault="00A35D1A" w:rsidP="00A35D1A">
            <w:pPr>
              <w:adjustRightInd w:val="0"/>
              <w:snapToGrid w:val="0"/>
              <w:spacing w:line="200" w:lineRule="atLeas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3</w:t>
            </w:r>
            <w:r w:rsidRPr="00EA612D">
              <w:rPr>
                <w:rFonts w:ascii="Times New Roman" w:hAnsi="Times New Roman" w:cs="Times New Roman"/>
                <w:color w:val="000000" w:themeColor="text1"/>
                <w:sz w:val="16"/>
                <w:szCs w:val="16"/>
              </w:rPr>
              <w:t>年以上</w:t>
            </w:r>
          </w:p>
        </w:tc>
        <w:tc>
          <w:tcPr>
            <w:tcW w:w="1318" w:type="pct"/>
            <w:shd w:val="clear" w:color="auto" w:fill="auto"/>
            <w:noWrap/>
            <w:vAlign w:val="bottom"/>
          </w:tcPr>
          <w:p w:rsidR="00A35D1A" w:rsidRPr="00EA612D" w:rsidRDefault="00A35D1A" w:rsidP="00A35D1A">
            <w:pPr>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 xml:space="preserve">  24,115.31 </w:t>
            </w:r>
          </w:p>
        </w:tc>
        <w:tc>
          <w:tcPr>
            <w:tcW w:w="1595" w:type="pct"/>
            <w:shd w:val="clear" w:color="auto" w:fill="auto"/>
            <w:noWrap/>
            <w:vAlign w:val="bottom"/>
          </w:tcPr>
          <w:p w:rsidR="00A35D1A" w:rsidRPr="00EA612D" w:rsidRDefault="00A35D1A" w:rsidP="00A35D1A">
            <w:pPr>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 xml:space="preserve">    22,012.73 </w:t>
            </w:r>
          </w:p>
        </w:tc>
      </w:tr>
      <w:tr w:rsidR="00835FFC" w:rsidRPr="00EA612D" w:rsidTr="00A35D1A">
        <w:trPr>
          <w:trHeight w:val="284"/>
        </w:trPr>
        <w:tc>
          <w:tcPr>
            <w:tcW w:w="2087" w:type="pct"/>
            <w:shd w:val="clear" w:color="auto" w:fill="auto"/>
            <w:vAlign w:val="center"/>
            <w:hideMark/>
          </w:tcPr>
          <w:p w:rsidR="00A35D1A" w:rsidRPr="00EA612D" w:rsidRDefault="00A35D1A" w:rsidP="00A35D1A">
            <w:pPr>
              <w:adjustRightInd w:val="0"/>
              <w:snapToGrid w:val="0"/>
              <w:spacing w:line="200" w:lineRule="atLeast"/>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合计</w:t>
            </w:r>
          </w:p>
        </w:tc>
        <w:tc>
          <w:tcPr>
            <w:tcW w:w="1318" w:type="pct"/>
            <w:shd w:val="clear" w:color="auto" w:fill="auto"/>
            <w:noWrap/>
            <w:vAlign w:val="bottom"/>
          </w:tcPr>
          <w:p w:rsidR="00A35D1A" w:rsidRPr="00EA612D" w:rsidRDefault="00A35D1A" w:rsidP="00A35D1A">
            <w:pPr>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 xml:space="preserve">  56,752.65 </w:t>
            </w:r>
          </w:p>
        </w:tc>
        <w:tc>
          <w:tcPr>
            <w:tcW w:w="1595" w:type="pct"/>
            <w:shd w:val="clear" w:color="auto" w:fill="auto"/>
            <w:noWrap/>
            <w:vAlign w:val="bottom"/>
          </w:tcPr>
          <w:p w:rsidR="00A35D1A" w:rsidRPr="00EA612D" w:rsidRDefault="00A35D1A" w:rsidP="00A35D1A">
            <w:pPr>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 xml:space="preserve">    76,123.30 </w:t>
            </w:r>
          </w:p>
        </w:tc>
      </w:tr>
    </w:tbl>
    <w:p w:rsidR="006302B1" w:rsidRPr="00EA612D" w:rsidRDefault="00A35D1A" w:rsidP="00F663C7">
      <w:pPr>
        <w:spacing w:beforeLines="50" w:before="156" w:afterLines="50" w:after="156" w:line="360" w:lineRule="auto"/>
        <w:ind w:leftChars="50" w:left="105" w:rightChars="50" w:right="105" w:firstLineChars="250" w:firstLine="600"/>
        <w:rPr>
          <w:rStyle w:val="a5"/>
          <w:rFonts w:asciiTheme="minorEastAsia" w:hAnsiTheme="minorEastAsia" w:cs="Times New Roman"/>
          <w:b w:val="0"/>
          <w:color w:val="000000" w:themeColor="text1"/>
          <w:sz w:val="24"/>
          <w:szCs w:val="24"/>
        </w:rPr>
      </w:pPr>
      <w:r w:rsidRPr="00EA612D">
        <w:rPr>
          <w:rStyle w:val="a5"/>
          <w:rFonts w:asciiTheme="minorEastAsia" w:hAnsiTheme="minorEastAsia" w:cs="Times New Roman"/>
          <w:b w:val="0"/>
          <w:color w:val="000000" w:themeColor="text1"/>
          <w:sz w:val="24"/>
          <w:szCs w:val="24"/>
        </w:rPr>
        <w:t>从公司预付账款账</w:t>
      </w:r>
      <w:proofErr w:type="gramStart"/>
      <w:r w:rsidRPr="00EA612D">
        <w:rPr>
          <w:rStyle w:val="a5"/>
          <w:rFonts w:asciiTheme="minorEastAsia" w:hAnsiTheme="minorEastAsia" w:cs="Times New Roman"/>
          <w:b w:val="0"/>
          <w:color w:val="000000" w:themeColor="text1"/>
          <w:sz w:val="24"/>
          <w:szCs w:val="24"/>
        </w:rPr>
        <w:t>龄结构</w:t>
      </w:r>
      <w:proofErr w:type="gramEnd"/>
      <w:r w:rsidRPr="00EA612D">
        <w:rPr>
          <w:rStyle w:val="a5"/>
          <w:rFonts w:asciiTheme="minorEastAsia" w:hAnsiTheme="minorEastAsia" w:cs="Times New Roman"/>
          <w:b w:val="0"/>
          <w:color w:val="000000" w:themeColor="text1"/>
          <w:sz w:val="24"/>
          <w:szCs w:val="24"/>
        </w:rPr>
        <w:t>变化分析来看，公司2016年末受备货减少影响，</w:t>
      </w:r>
      <w:r w:rsidR="006302B1" w:rsidRPr="00EA612D">
        <w:rPr>
          <w:rStyle w:val="a5"/>
          <w:rFonts w:asciiTheme="minorEastAsia" w:hAnsiTheme="minorEastAsia" w:cs="Times New Roman"/>
          <w:b w:val="0"/>
          <w:color w:val="000000" w:themeColor="text1"/>
          <w:sz w:val="24"/>
          <w:szCs w:val="24"/>
        </w:rPr>
        <w:t>1年以内的预付账款</w:t>
      </w:r>
      <w:r w:rsidRPr="00EA612D">
        <w:rPr>
          <w:rStyle w:val="a5"/>
          <w:rFonts w:asciiTheme="minorEastAsia" w:hAnsiTheme="minorEastAsia" w:cs="Times New Roman"/>
          <w:b w:val="0"/>
          <w:color w:val="000000" w:themeColor="text1"/>
          <w:sz w:val="24"/>
          <w:szCs w:val="24"/>
        </w:rPr>
        <w:t>下降，</w:t>
      </w:r>
      <w:r w:rsidR="006302B1" w:rsidRPr="00EA612D">
        <w:rPr>
          <w:rStyle w:val="a5"/>
          <w:rFonts w:asciiTheme="minorEastAsia" w:hAnsiTheme="minorEastAsia" w:cs="Times New Roman" w:hint="eastAsia"/>
          <w:b w:val="0"/>
          <w:color w:val="000000" w:themeColor="text1"/>
          <w:sz w:val="24"/>
          <w:szCs w:val="24"/>
        </w:rPr>
        <w:t>导致</w:t>
      </w:r>
      <w:r w:rsidRPr="00EA612D">
        <w:rPr>
          <w:rStyle w:val="a5"/>
          <w:rFonts w:asciiTheme="minorEastAsia" w:hAnsiTheme="minorEastAsia" w:cs="Times New Roman"/>
          <w:b w:val="0"/>
          <w:color w:val="000000" w:themeColor="text1"/>
          <w:sz w:val="24"/>
          <w:szCs w:val="24"/>
        </w:rPr>
        <w:t>预付账款总额</w:t>
      </w:r>
      <w:r w:rsidR="006302B1" w:rsidRPr="00EA612D">
        <w:rPr>
          <w:rStyle w:val="a5"/>
          <w:rFonts w:asciiTheme="minorEastAsia" w:hAnsiTheme="minorEastAsia" w:cs="Times New Roman" w:hint="eastAsia"/>
          <w:b w:val="0"/>
          <w:color w:val="000000" w:themeColor="text1"/>
          <w:sz w:val="24"/>
          <w:szCs w:val="24"/>
        </w:rPr>
        <w:t>有所</w:t>
      </w:r>
      <w:r w:rsidRPr="00EA612D">
        <w:rPr>
          <w:rStyle w:val="a5"/>
          <w:rFonts w:asciiTheme="minorEastAsia" w:hAnsiTheme="minorEastAsia" w:cs="Times New Roman"/>
          <w:b w:val="0"/>
          <w:color w:val="000000" w:themeColor="text1"/>
          <w:sz w:val="24"/>
          <w:szCs w:val="24"/>
        </w:rPr>
        <w:t>降低，</w:t>
      </w:r>
      <w:r w:rsidR="006302B1" w:rsidRPr="00EA612D">
        <w:rPr>
          <w:rStyle w:val="a5"/>
          <w:rFonts w:asciiTheme="minorEastAsia" w:hAnsiTheme="minorEastAsia" w:cs="Times New Roman" w:hint="eastAsia"/>
          <w:b w:val="0"/>
          <w:color w:val="000000" w:themeColor="text1"/>
          <w:sz w:val="24"/>
          <w:szCs w:val="24"/>
        </w:rPr>
        <w:t>但</w:t>
      </w:r>
      <w:r w:rsidRPr="00EA612D">
        <w:rPr>
          <w:rStyle w:val="a5"/>
          <w:rFonts w:asciiTheme="minorEastAsia" w:hAnsiTheme="minorEastAsia" w:cs="Times New Roman"/>
          <w:b w:val="0"/>
          <w:color w:val="000000" w:themeColor="text1"/>
          <w:sz w:val="24"/>
          <w:szCs w:val="24"/>
        </w:rPr>
        <w:t>账龄</w:t>
      </w:r>
      <w:r w:rsidR="006302B1" w:rsidRPr="00EA612D">
        <w:rPr>
          <w:rStyle w:val="a5"/>
          <w:rFonts w:asciiTheme="minorEastAsia" w:hAnsiTheme="minorEastAsia" w:cs="Times New Roman" w:hint="eastAsia"/>
          <w:b w:val="0"/>
          <w:color w:val="000000" w:themeColor="text1"/>
          <w:sz w:val="24"/>
          <w:szCs w:val="24"/>
        </w:rPr>
        <w:t>在1年以上</w:t>
      </w:r>
      <w:r w:rsidRPr="00EA612D">
        <w:rPr>
          <w:rStyle w:val="a5"/>
          <w:rFonts w:asciiTheme="minorEastAsia" w:hAnsiTheme="minorEastAsia" w:cs="Times New Roman"/>
          <w:b w:val="0"/>
          <w:color w:val="000000" w:themeColor="text1"/>
          <w:sz w:val="24"/>
          <w:szCs w:val="24"/>
        </w:rPr>
        <w:t>的预付账款增加，导致公司总体坏账风险加大。</w:t>
      </w:r>
    </w:p>
    <w:p w:rsidR="00A35D1A" w:rsidRPr="00EA612D" w:rsidRDefault="00A35D1A" w:rsidP="00F663C7">
      <w:pPr>
        <w:spacing w:beforeLines="50" w:before="156" w:afterLines="50" w:after="156" w:line="360" w:lineRule="auto"/>
        <w:ind w:leftChars="50" w:left="105" w:rightChars="50" w:right="105" w:firstLineChars="200" w:firstLine="480"/>
        <w:rPr>
          <w:rStyle w:val="a5"/>
          <w:rFonts w:asciiTheme="minorEastAsia" w:hAnsiTheme="minorEastAsia" w:cs="Times New Roman"/>
          <w:b w:val="0"/>
          <w:color w:val="000000" w:themeColor="text1"/>
          <w:sz w:val="24"/>
          <w:szCs w:val="24"/>
        </w:rPr>
      </w:pPr>
      <w:r w:rsidRPr="00EA612D">
        <w:rPr>
          <w:rStyle w:val="a5"/>
          <w:rFonts w:asciiTheme="minorEastAsia" w:hAnsiTheme="minorEastAsia" w:cs="Times New Roman"/>
          <w:b w:val="0"/>
          <w:color w:val="000000" w:themeColor="text1"/>
          <w:sz w:val="24"/>
          <w:szCs w:val="24"/>
        </w:rPr>
        <w:t>2016年度，公司大额涉诉的预付账款取得了最新预计可回收金额的证据，公司继续按照账龄计提预付账款坏账准备已经无法覆盖公司预付账款回收风险，</w:t>
      </w:r>
      <w:proofErr w:type="gramStart"/>
      <w:r w:rsidRPr="00EA612D">
        <w:rPr>
          <w:rStyle w:val="a5"/>
          <w:rFonts w:asciiTheme="minorEastAsia" w:hAnsiTheme="minorEastAsia" w:cs="Times New Roman"/>
          <w:b w:val="0"/>
          <w:color w:val="000000" w:themeColor="text1"/>
          <w:sz w:val="24"/>
          <w:szCs w:val="24"/>
        </w:rPr>
        <w:t>故进行</w:t>
      </w:r>
      <w:proofErr w:type="gramEnd"/>
      <w:r w:rsidRPr="00EA612D">
        <w:rPr>
          <w:rStyle w:val="a5"/>
          <w:rFonts w:asciiTheme="minorEastAsia" w:hAnsiTheme="minorEastAsia" w:cs="Times New Roman"/>
          <w:b w:val="0"/>
          <w:color w:val="000000" w:themeColor="text1"/>
          <w:sz w:val="24"/>
          <w:szCs w:val="24"/>
        </w:rPr>
        <w:t>了单项认定</w:t>
      </w:r>
      <w:r w:rsidR="00D50E42" w:rsidRPr="00EA612D">
        <w:rPr>
          <w:rStyle w:val="a5"/>
          <w:rFonts w:asciiTheme="minorEastAsia" w:hAnsiTheme="minorEastAsia" w:cs="Times New Roman" w:hint="eastAsia"/>
          <w:b w:val="0"/>
          <w:color w:val="000000" w:themeColor="text1"/>
          <w:sz w:val="24"/>
          <w:szCs w:val="24"/>
        </w:rPr>
        <w:t>，计提坏账准备</w:t>
      </w:r>
      <w:r w:rsidRPr="00EA612D">
        <w:rPr>
          <w:rStyle w:val="a5"/>
          <w:rFonts w:asciiTheme="minorEastAsia" w:hAnsiTheme="minorEastAsia" w:cs="Times New Roman"/>
          <w:b w:val="0"/>
          <w:color w:val="000000" w:themeColor="text1"/>
          <w:sz w:val="24"/>
          <w:szCs w:val="24"/>
        </w:rPr>
        <w:t>。</w:t>
      </w:r>
    </w:p>
    <w:p w:rsidR="00A35D1A" w:rsidRPr="00EA612D" w:rsidRDefault="00A35D1A" w:rsidP="00F663C7">
      <w:pPr>
        <w:spacing w:beforeLines="50" w:before="156" w:afterLines="50" w:after="156" w:line="360" w:lineRule="auto"/>
        <w:ind w:leftChars="50" w:left="105" w:rightChars="50" w:right="105" w:firstLineChars="200" w:firstLine="480"/>
        <w:rPr>
          <w:rStyle w:val="a5"/>
          <w:rFonts w:asciiTheme="minorEastAsia" w:hAnsiTheme="minorEastAsia" w:cs="Times New Roman"/>
          <w:b w:val="0"/>
          <w:color w:val="000000" w:themeColor="text1"/>
          <w:sz w:val="24"/>
          <w:szCs w:val="24"/>
        </w:rPr>
      </w:pPr>
      <w:r w:rsidRPr="00EA612D">
        <w:rPr>
          <w:rStyle w:val="a5"/>
          <w:rFonts w:asciiTheme="minorEastAsia" w:hAnsiTheme="minorEastAsia" w:cs="Times New Roman"/>
          <w:b w:val="0"/>
          <w:color w:val="000000" w:themeColor="text1"/>
          <w:sz w:val="24"/>
          <w:szCs w:val="24"/>
        </w:rPr>
        <w:t>综</w:t>
      </w:r>
      <w:r w:rsidR="006302B1" w:rsidRPr="00EA612D">
        <w:rPr>
          <w:rStyle w:val="a5"/>
          <w:rFonts w:asciiTheme="minorEastAsia" w:hAnsiTheme="minorEastAsia" w:cs="Times New Roman" w:hint="eastAsia"/>
          <w:b w:val="0"/>
          <w:color w:val="000000" w:themeColor="text1"/>
          <w:sz w:val="24"/>
          <w:szCs w:val="24"/>
        </w:rPr>
        <w:t>上</w:t>
      </w:r>
      <w:r w:rsidRPr="00EA612D">
        <w:rPr>
          <w:rStyle w:val="a5"/>
          <w:rFonts w:asciiTheme="minorEastAsia" w:hAnsiTheme="minorEastAsia" w:cs="Times New Roman"/>
          <w:b w:val="0"/>
          <w:color w:val="000000" w:themeColor="text1"/>
          <w:sz w:val="24"/>
          <w:szCs w:val="24"/>
        </w:rPr>
        <w:t>所述</w:t>
      </w:r>
      <w:r w:rsidR="006302B1" w:rsidRPr="00EA612D">
        <w:rPr>
          <w:rStyle w:val="a5"/>
          <w:rFonts w:asciiTheme="minorEastAsia" w:hAnsiTheme="minorEastAsia" w:cs="Times New Roman" w:hint="eastAsia"/>
          <w:b w:val="0"/>
          <w:color w:val="000000" w:themeColor="text1"/>
          <w:sz w:val="24"/>
          <w:szCs w:val="24"/>
        </w:rPr>
        <w:t>，</w:t>
      </w:r>
      <w:r w:rsidR="00F44428" w:rsidRPr="00EA612D">
        <w:rPr>
          <w:rStyle w:val="a5"/>
          <w:rFonts w:asciiTheme="minorEastAsia" w:hAnsiTheme="minorEastAsia" w:cs="Times New Roman"/>
          <w:b w:val="0"/>
          <w:color w:val="000000" w:themeColor="text1"/>
          <w:sz w:val="24"/>
          <w:szCs w:val="24"/>
        </w:rPr>
        <w:t>公司本期计提预付账款坏账准备一方面考虑公司预付账款</w:t>
      </w:r>
      <w:r w:rsidR="00F44428" w:rsidRPr="00EA612D">
        <w:rPr>
          <w:rStyle w:val="a5"/>
          <w:rFonts w:asciiTheme="minorEastAsia" w:hAnsiTheme="minorEastAsia" w:cs="Times New Roman" w:hint="eastAsia"/>
          <w:b w:val="0"/>
          <w:color w:val="000000" w:themeColor="text1"/>
          <w:sz w:val="24"/>
          <w:szCs w:val="24"/>
        </w:rPr>
        <w:t>的</w:t>
      </w:r>
      <w:r w:rsidR="00F44428" w:rsidRPr="00EA612D">
        <w:rPr>
          <w:rStyle w:val="a5"/>
          <w:rFonts w:asciiTheme="minorEastAsia" w:hAnsiTheme="minorEastAsia" w:cs="Times New Roman"/>
          <w:b w:val="0"/>
          <w:color w:val="000000" w:themeColor="text1"/>
          <w:sz w:val="24"/>
          <w:szCs w:val="24"/>
        </w:rPr>
        <w:t>账</w:t>
      </w:r>
      <w:r w:rsidR="00F44428" w:rsidRPr="00EA612D">
        <w:rPr>
          <w:rStyle w:val="a5"/>
          <w:rFonts w:asciiTheme="minorEastAsia" w:hAnsiTheme="minorEastAsia" w:cs="Times New Roman"/>
          <w:b w:val="0"/>
          <w:color w:val="000000" w:themeColor="text1"/>
          <w:sz w:val="24"/>
          <w:szCs w:val="24"/>
        </w:rPr>
        <w:lastRenderedPageBreak/>
        <w:t>龄结构</w:t>
      </w:r>
      <w:r w:rsidR="00F44428" w:rsidRPr="00EA612D">
        <w:rPr>
          <w:rStyle w:val="a5"/>
          <w:rFonts w:asciiTheme="minorEastAsia" w:hAnsiTheme="minorEastAsia" w:cs="Times New Roman" w:hint="eastAsia"/>
          <w:b w:val="0"/>
          <w:color w:val="000000" w:themeColor="text1"/>
          <w:sz w:val="24"/>
          <w:szCs w:val="24"/>
        </w:rPr>
        <w:t>，按信用风险特征组合计提坏账准备；</w:t>
      </w:r>
      <w:r w:rsidR="00F44428" w:rsidRPr="00EA612D">
        <w:rPr>
          <w:rStyle w:val="a5"/>
          <w:rFonts w:asciiTheme="minorEastAsia" w:hAnsiTheme="minorEastAsia" w:cs="Times New Roman"/>
          <w:b w:val="0"/>
          <w:color w:val="000000" w:themeColor="text1"/>
          <w:sz w:val="24"/>
          <w:szCs w:val="24"/>
        </w:rPr>
        <w:t>另一方面对有客观证据表明可能发生减值的预付账款进行单项认定</w:t>
      </w:r>
      <w:r w:rsidR="00F44428" w:rsidRPr="00EA612D">
        <w:rPr>
          <w:rStyle w:val="a5"/>
          <w:rFonts w:asciiTheme="minorEastAsia" w:hAnsiTheme="minorEastAsia" w:cs="Times New Roman" w:hint="eastAsia"/>
          <w:b w:val="0"/>
          <w:color w:val="000000" w:themeColor="text1"/>
          <w:sz w:val="24"/>
          <w:szCs w:val="24"/>
        </w:rPr>
        <w:t>，单独计提</w:t>
      </w:r>
      <w:r w:rsidR="00F44428" w:rsidRPr="00EA612D">
        <w:rPr>
          <w:rStyle w:val="a5"/>
          <w:rFonts w:asciiTheme="minorEastAsia" w:hAnsiTheme="minorEastAsia" w:cs="Times New Roman"/>
          <w:b w:val="0"/>
          <w:color w:val="000000" w:themeColor="text1"/>
          <w:sz w:val="24"/>
          <w:szCs w:val="24"/>
        </w:rPr>
        <w:t>坏账准备。</w:t>
      </w:r>
    </w:p>
    <w:p w:rsidR="00A35D1A" w:rsidRPr="00EA612D" w:rsidRDefault="00F530DF" w:rsidP="00F663C7">
      <w:pPr>
        <w:spacing w:beforeLines="50" w:before="156" w:afterLines="50" w:after="156" w:line="360" w:lineRule="auto"/>
        <w:ind w:leftChars="50" w:left="105" w:rightChars="50" w:right="105" w:firstLineChars="200" w:firstLine="480"/>
        <w:rPr>
          <w:rStyle w:val="a5"/>
          <w:rFonts w:asciiTheme="minorEastAsia" w:hAnsiTheme="minorEastAsia" w:cs="Times New Roman"/>
          <w:b w:val="0"/>
          <w:color w:val="000000" w:themeColor="text1"/>
          <w:sz w:val="24"/>
          <w:szCs w:val="24"/>
        </w:rPr>
      </w:pPr>
      <w:r w:rsidRPr="00EA612D">
        <w:rPr>
          <w:rStyle w:val="a5"/>
          <w:rFonts w:asciiTheme="minorEastAsia" w:hAnsiTheme="minorEastAsia" w:cs="Times New Roman" w:hint="eastAsia"/>
          <w:b w:val="0"/>
          <w:color w:val="000000" w:themeColor="text1"/>
          <w:sz w:val="24"/>
          <w:szCs w:val="24"/>
        </w:rPr>
        <w:t>（2）</w:t>
      </w:r>
      <w:r w:rsidR="00A35D1A" w:rsidRPr="00EA612D">
        <w:rPr>
          <w:rStyle w:val="a5"/>
          <w:rFonts w:asciiTheme="minorEastAsia" w:hAnsiTheme="minorEastAsia" w:cs="Times New Roman"/>
          <w:b w:val="0"/>
          <w:color w:val="000000" w:themeColor="text1"/>
          <w:sz w:val="24"/>
          <w:szCs w:val="24"/>
        </w:rPr>
        <w:t>2016年度预付账款坏账准备计提比例大幅高于2015年度的原因、依据及合理性</w:t>
      </w:r>
    </w:p>
    <w:p w:rsidR="00A35D1A" w:rsidRPr="00EA612D" w:rsidRDefault="00A35D1A" w:rsidP="00F663C7">
      <w:pPr>
        <w:spacing w:beforeLines="50" w:before="156" w:afterLines="50" w:after="156" w:line="360" w:lineRule="auto"/>
        <w:ind w:leftChars="50" w:left="105" w:rightChars="50" w:right="105" w:firstLineChars="200" w:firstLine="480"/>
        <w:jc w:val="left"/>
        <w:rPr>
          <w:rStyle w:val="a5"/>
          <w:rFonts w:asciiTheme="minorEastAsia" w:hAnsiTheme="minorEastAsia" w:cs="Times New Roman"/>
          <w:b w:val="0"/>
          <w:color w:val="000000" w:themeColor="text1"/>
          <w:sz w:val="24"/>
          <w:szCs w:val="24"/>
        </w:rPr>
      </w:pPr>
      <w:r w:rsidRPr="00EA612D">
        <w:rPr>
          <w:rStyle w:val="a5"/>
          <w:rFonts w:asciiTheme="minorEastAsia" w:hAnsiTheme="minorEastAsia" w:cs="Times New Roman"/>
          <w:b w:val="0"/>
          <w:color w:val="000000" w:themeColor="text1"/>
          <w:sz w:val="24"/>
          <w:szCs w:val="24"/>
        </w:rPr>
        <w:t>2016年度公司单项认定的预付账款坏账准备增加</w:t>
      </w:r>
      <w:r w:rsidR="006302B1" w:rsidRPr="00EA612D">
        <w:rPr>
          <w:rStyle w:val="a5"/>
          <w:rFonts w:asciiTheme="minorEastAsia" w:hAnsiTheme="minorEastAsia" w:cs="Times New Roman"/>
          <w:b w:val="0"/>
          <w:color w:val="000000" w:themeColor="text1"/>
          <w:sz w:val="24"/>
          <w:szCs w:val="24"/>
        </w:rPr>
        <w:t>3,836.20</w:t>
      </w:r>
      <w:r w:rsidRPr="00EA612D">
        <w:rPr>
          <w:rStyle w:val="a5"/>
          <w:rFonts w:asciiTheme="minorEastAsia" w:hAnsiTheme="minorEastAsia" w:cs="Times New Roman"/>
          <w:b w:val="0"/>
          <w:color w:val="000000" w:themeColor="text1"/>
          <w:sz w:val="24"/>
          <w:szCs w:val="24"/>
        </w:rPr>
        <w:t>万元，导致公司预付账款坏账准备计提比例大幅高于2015年度，</w:t>
      </w:r>
      <w:proofErr w:type="gramStart"/>
      <w:r w:rsidR="006302B1" w:rsidRPr="00EA612D">
        <w:rPr>
          <w:rStyle w:val="a5"/>
          <w:rFonts w:asciiTheme="minorEastAsia" w:hAnsiTheme="minorEastAsia" w:cs="Times New Roman" w:hint="eastAsia"/>
          <w:b w:val="0"/>
          <w:color w:val="000000" w:themeColor="text1"/>
          <w:sz w:val="24"/>
          <w:szCs w:val="24"/>
        </w:rPr>
        <w:t>剔</w:t>
      </w:r>
      <w:r w:rsidRPr="00EA612D">
        <w:rPr>
          <w:rStyle w:val="a5"/>
          <w:rFonts w:asciiTheme="minorEastAsia" w:hAnsiTheme="minorEastAsia" w:cs="Times New Roman"/>
          <w:b w:val="0"/>
          <w:color w:val="000000" w:themeColor="text1"/>
          <w:sz w:val="24"/>
          <w:szCs w:val="24"/>
        </w:rPr>
        <w:t>除此</w:t>
      </w:r>
      <w:proofErr w:type="gramEnd"/>
      <w:r w:rsidRPr="00EA612D">
        <w:rPr>
          <w:rStyle w:val="a5"/>
          <w:rFonts w:asciiTheme="minorEastAsia" w:hAnsiTheme="minorEastAsia" w:cs="Times New Roman"/>
          <w:b w:val="0"/>
          <w:color w:val="000000" w:themeColor="text1"/>
          <w:sz w:val="24"/>
          <w:szCs w:val="24"/>
        </w:rPr>
        <w:t>影响，公司预付账款</w:t>
      </w:r>
      <w:r w:rsidR="006302B1" w:rsidRPr="00EA612D">
        <w:rPr>
          <w:rStyle w:val="a5"/>
          <w:rFonts w:asciiTheme="minorEastAsia" w:hAnsiTheme="minorEastAsia" w:cs="Times New Roman" w:hint="eastAsia"/>
          <w:b w:val="0"/>
          <w:color w:val="000000" w:themeColor="text1"/>
          <w:sz w:val="24"/>
          <w:szCs w:val="24"/>
        </w:rPr>
        <w:t>账龄计提的坏账准备</w:t>
      </w:r>
      <w:r w:rsidRPr="00EA612D">
        <w:rPr>
          <w:rStyle w:val="a5"/>
          <w:rFonts w:asciiTheme="minorEastAsia" w:hAnsiTheme="minorEastAsia" w:cs="Times New Roman"/>
          <w:b w:val="0"/>
          <w:color w:val="000000" w:themeColor="text1"/>
          <w:sz w:val="24"/>
          <w:szCs w:val="24"/>
        </w:rPr>
        <w:t>2016年度与2015年度相比略有下降。</w:t>
      </w:r>
    </w:p>
    <w:p w:rsidR="00A35D1A" w:rsidRPr="00EA612D" w:rsidRDefault="00A35D1A" w:rsidP="00F663C7">
      <w:pPr>
        <w:spacing w:beforeLines="50" w:before="156" w:afterLines="50" w:after="156" w:line="360" w:lineRule="auto"/>
        <w:ind w:leftChars="50" w:left="105" w:rightChars="50" w:right="105" w:firstLineChars="200" w:firstLine="480"/>
        <w:jc w:val="left"/>
        <w:rPr>
          <w:rStyle w:val="a5"/>
          <w:rFonts w:asciiTheme="minorEastAsia" w:hAnsiTheme="minorEastAsia" w:cs="Times New Roman"/>
          <w:b w:val="0"/>
          <w:color w:val="000000" w:themeColor="text1"/>
          <w:sz w:val="24"/>
          <w:szCs w:val="24"/>
        </w:rPr>
      </w:pPr>
      <w:r w:rsidRPr="00EA612D">
        <w:rPr>
          <w:rStyle w:val="a5"/>
          <w:rFonts w:asciiTheme="minorEastAsia" w:hAnsiTheme="minorEastAsia" w:cs="Times New Roman"/>
          <w:b w:val="0"/>
          <w:color w:val="000000" w:themeColor="text1"/>
          <w:sz w:val="24"/>
          <w:szCs w:val="24"/>
        </w:rPr>
        <w:t>单项认定计提坏账准备的预付账款如下：</w:t>
      </w:r>
    </w:p>
    <w:p w:rsidR="00A35D1A" w:rsidRPr="00EA612D" w:rsidRDefault="00A35D1A" w:rsidP="00A35D1A">
      <w:pPr>
        <w:jc w:val="right"/>
        <w:rPr>
          <w:rStyle w:val="a5"/>
          <w:rFonts w:ascii="Times New Roman" w:hAnsi="Times New Roman" w:cs="Times New Roman"/>
          <w:b w:val="0"/>
          <w:color w:val="000000" w:themeColor="text1"/>
          <w:szCs w:val="21"/>
        </w:rPr>
      </w:pPr>
      <w:r w:rsidRPr="00EA612D">
        <w:rPr>
          <w:rStyle w:val="a5"/>
          <w:rFonts w:ascii="Times New Roman" w:hAnsi="Times New Roman" w:cs="Times New Roman"/>
          <w:b w:val="0"/>
          <w:color w:val="000000" w:themeColor="text1"/>
          <w:szCs w:val="21"/>
        </w:rPr>
        <w:t>单位：人民币万元</w:t>
      </w:r>
    </w:p>
    <w:tbl>
      <w:tblPr>
        <w:tblW w:w="5000" w:type="pct"/>
        <w:tblBorders>
          <w:top w:val="single" w:sz="12" w:space="0" w:color="auto"/>
          <w:bottom w:val="single" w:sz="12" w:space="0" w:color="auto"/>
          <w:insideH w:val="dotted" w:sz="4" w:space="0" w:color="auto"/>
          <w:insideV w:val="dotted" w:sz="4" w:space="0" w:color="auto"/>
        </w:tblBorders>
        <w:tblLook w:val="04A0" w:firstRow="1" w:lastRow="0" w:firstColumn="1" w:lastColumn="0" w:noHBand="0" w:noVBand="1"/>
      </w:tblPr>
      <w:tblGrid>
        <w:gridCol w:w="1479"/>
        <w:gridCol w:w="568"/>
        <w:gridCol w:w="1144"/>
        <w:gridCol w:w="1312"/>
        <w:gridCol w:w="1924"/>
        <w:gridCol w:w="1139"/>
        <w:gridCol w:w="956"/>
      </w:tblGrid>
      <w:tr w:rsidR="00835FFC" w:rsidRPr="00EA612D" w:rsidTr="00A35D1A">
        <w:trPr>
          <w:trHeight w:val="270"/>
        </w:trPr>
        <w:tc>
          <w:tcPr>
            <w:tcW w:w="867" w:type="pct"/>
            <w:vMerge w:val="restart"/>
            <w:shd w:val="clear" w:color="auto" w:fill="auto"/>
            <w:vAlign w:val="center"/>
            <w:hideMark/>
          </w:tcPr>
          <w:p w:rsidR="00A35D1A" w:rsidRPr="00EA612D" w:rsidRDefault="00A35D1A" w:rsidP="00A35D1A">
            <w:pPr>
              <w:snapToGrid w:val="0"/>
              <w:spacing w:line="200" w:lineRule="atLeast"/>
              <w:jc w:val="center"/>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客户名称</w:t>
            </w:r>
          </w:p>
        </w:tc>
        <w:tc>
          <w:tcPr>
            <w:tcW w:w="333" w:type="pct"/>
            <w:vMerge w:val="restart"/>
            <w:vAlign w:val="center"/>
          </w:tcPr>
          <w:p w:rsidR="00A35D1A" w:rsidRPr="00EA612D" w:rsidRDefault="00A35D1A" w:rsidP="00A35D1A">
            <w:pPr>
              <w:snapToGrid w:val="0"/>
              <w:spacing w:line="200" w:lineRule="atLeast"/>
              <w:jc w:val="center"/>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原因</w:t>
            </w:r>
          </w:p>
        </w:tc>
        <w:tc>
          <w:tcPr>
            <w:tcW w:w="671" w:type="pct"/>
            <w:vMerge w:val="restart"/>
            <w:vAlign w:val="center"/>
          </w:tcPr>
          <w:p w:rsidR="00A35D1A" w:rsidRPr="00EA612D" w:rsidRDefault="00A35D1A" w:rsidP="00A35D1A">
            <w:pPr>
              <w:snapToGrid w:val="0"/>
              <w:spacing w:line="200" w:lineRule="atLeast"/>
              <w:jc w:val="center"/>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2016</w:t>
            </w:r>
            <w:r w:rsidRPr="00EA612D">
              <w:rPr>
                <w:rFonts w:ascii="Times New Roman" w:eastAsia="宋体" w:hAnsi="Times New Roman" w:cs="Times New Roman"/>
                <w:color w:val="000000" w:themeColor="text1"/>
                <w:sz w:val="16"/>
                <w:szCs w:val="16"/>
              </w:rPr>
              <w:t>年当期计提金额</w:t>
            </w:r>
          </w:p>
        </w:tc>
        <w:tc>
          <w:tcPr>
            <w:tcW w:w="3128" w:type="pct"/>
            <w:gridSpan w:val="4"/>
            <w:shd w:val="clear" w:color="auto" w:fill="auto"/>
            <w:vAlign w:val="center"/>
            <w:hideMark/>
          </w:tcPr>
          <w:p w:rsidR="00A35D1A" w:rsidRPr="00EA612D" w:rsidRDefault="00A35D1A" w:rsidP="00A35D1A">
            <w:pPr>
              <w:snapToGrid w:val="0"/>
              <w:spacing w:line="200" w:lineRule="atLeast"/>
              <w:jc w:val="center"/>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期末</w:t>
            </w:r>
          </w:p>
        </w:tc>
      </w:tr>
      <w:tr w:rsidR="00835FFC" w:rsidRPr="00EA612D" w:rsidTr="00A35D1A">
        <w:trPr>
          <w:trHeight w:val="510"/>
        </w:trPr>
        <w:tc>
          <w:tcPr>
            <w:tcW w:w="867" w:type="pct"/>
            <w:vMerge/>
            <w:vAlign w:val="center"/>
            <w:hideMark/>
          </w:tcPr>
          <w:p w:rsidR="00A35D1A" w:rsidRPr="00EA612D" w:rsidRDefault="00A35D1A" w:rsidP="00A35D1A">
            <w:pPr>
              <w:snapToGrid w:val="0"/>
              <w:spacing w:line="200" w:lineRule="atLeast"/>
              <w:jc w:val="center"/>
              <w:rPr>
                <w:rFonts w:ascii="Times New Roman" w:eastAsia="宋体" w:hAnsi="Times New Roman" w:cs="Times New Roman"/>
                <w:color w:val="000000" w:themeColor="text1"/>
                <w:sz w:val="16"/>
                <w:szCs w:val="16"/>
              </w:rPr>
            </w:pPr>
          </w:p>
        </w:tc>
        <w:tc>
          <w:tcPr>
            <w:tcW w:w="333" w:type="pct"/>
            <w:vMerge/>
          </w:tcPr>
          <w:p w:rsidR="00A35D1A" w:rsidRPr="00EA612D" w:rsidRDefault="00A35D1A" w:rsidP="00A35D1A">
            <w:pPr>
              <w:snapToGrid w:val="0"/>
              <w:spacing w:line="200" w:lineRule="atLeast"/>
              <w:jc w:val="center"/>
              <w:rPr>
                <w:rFonts w:ascii="Times New Roman" w:eastAsia="宋体" w:hAnsi="Times New Roman" w:cs="Times New Roman"/>
                <w:color w:val="000000" w:themeColor="text1"/>
                <w:sz w:val="16"/>
                <w:szCs w:val="16"/>
              </w:rPr>
            </w:pPr>
          </w:p>
        </w:tc>
        <w:tc>
          <w:tcPr>
            <w:tcW w:w="671" w:type="pct"/>
            <w:vMerge/>
          </w:tcPr>
          <w:p w:rsidR="00A35D1A" w:rsidRPr="00EA612D" w:rsidRDefault="00A35D1A" w:rsidP="00A35D1A">
            <w:pPr>
              <w:snapToGrid w:val="0"/>
              <w:spacing w:line="200" w:lineRule="atLeast"/>
              <w:jc w:val="center"/>
              <w:rPr>
                <w:rFonts w:ascii="Times New Roman" w:eastAsia="宋体" w:hAnsi="Times New Roman" w:cs="Times New Roman"/>
                <w:color w:val="000000" w:themeColor="text1"/>
                <w:sz w:val="16"/>
                <w:szCs w:val="16"/>
              </w:rPr>
            </w:pPr>
          </w:p>
        </w:tc>
        <w:tc>
          <w:tcPr>
            <w:tcW w:w="770" w:type="pct"/>
            <w:shd w:val="clear" w:color="auto" w:fill="auto"/>
            <w:vAlign w:val="center"/>
            <w:hideMark/>
          </w:tcPr>
          <w:p w:rsidR="00A35D1A" w:rsidRPr="00EA612D" w:rsidRDefault="00A35D1A" w:rsidP="00A35D1A">
            <w:pPr>
              <w:snapToGrid w:val="0"/>
              <w:spacing w:line="200" w:lineRule="atLeast"/>
              <w:jc w:val="center"/>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账款余额</w:t>
            </w:r>
          </w:p>
        </w:tc>
        <w:tc>
          <w:tcPr>
            <w:tcW w:w="1129" w:type="pct"/>
            <w:shd w:val="clear" w:color="auto" w:fill="auto"/>
            <w:vAlign w:val="center"/>
          </w:tcPr>
          <w:p w:rsidR="00A35D1A" w:rsidRPr="00EA612D" w:rsidRDefault="00A35D1A" w:rsidP="00A35D1A">
            <w:pPr>
              <w:snapToGrid w:val="0"/>
              <w:spacing w:line="200" w:lineRule="atLeast"/>
              <w:jc w:val="center"/>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账龄</w:t>
            </w:r>
          </w:p>
        </w:tc>
        <w:tc>
          <w:tcPr>
            <w:tcW w:w="668" w:type="pct"/>
            <w:shd w:val="clear" w:color="auto" w:fill="auto"/>
            <w:vAlign w:val="center"/>
            <w:hideMark/>
          </w:tcPr>
          <w:p w:rsidR="00A35D1A" w:rsidRPr="00EA612D" w:rsidRDefault="00A35D1A" w:rsidP="00A35D1A">
            <w:pPr>
              <w:snapToGrid w:val="0"/>
              <w:spacing w:line="200" w:lineRule="atLeast"/>
              <w:jc w:val="center"/>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坏账准备</w:t>
            </w:r>
          </w:p>
        </w:tc>
        <w:tc>
          <w:tcPr>
            <w:tcW w:w="561" w:type="pct"/>
            <w:vAlign w:val="center"/>
          </w:tcPr>
          <w:p w:rsidR="00A35D1A" w:rsidRPr="00EA612D" w:rsidRDefault="00A35D1A" w:rsidP="00A35D1A">
            <w:pPr>
              <w:snapToGrid w:val="0"/>
              <w:spacing w:line="200" w:lineRule="atLeast"/>
              <w:jc w:val="center"/>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坏账计提比例（</w:t>
            </w:r>
            <w:r w:rsidRPr="00EA612D">
              <w:rPr>
                <w:rFonts w:ascii="Times New Roman" w:eastAsia="宋体" w:hAnsi="Times New Roman" w:cs="Times New Roman"/>
                <w:color w:val="000000" w:themeColor="text1"/>
                <w:sz w:val="16"/>
                <w:szCs w:val="16"/>
              </w:rPr>
              <w:t>%</w:t>
            </w:r>
            <w:r w:rsidRPr="00EA612D">
              <w:rPr>
                <w:rFonts w:ascii="Times New Roman" w:eastAsia="宋体" w:hAnsi="Times New Roman" w:cs="Times New Roman"/>
                <w:color w:val="000000" w:themeColor="text1"/>
                <w:sz w:val="16"/>
                <w:szCs w:val="16"/>
              </w:rPr>
              <w:t>）</w:t>
            </w:r>
          </w:p>
        </w:tc>
      </w:tr>
      <w:tr w:rsidR="00835FFC" w:rsidRPr="00EA612D" w:rsidTr="00A35D1A">
        <w:trPr>
          <w:trHeight w:val="510"/>
        </w:trPr>
        <w:tc>
          <w:tcPr>
            <w:tcW w:w="867" w:type="pct"/>
            <w:vAlign w:val="center"/>
          </w:tcPr>
          <w:p w:rsidR="00A35D1A" w:rsidRPr="00EA612D" w:rsidRDefault="00A35D1A" w:rsidP="00A35D1A">
            <w:pPr>
              <w:snapToGrid w:val="0"/>
              <w:spacing w:line="200" w:lineRule="atLeast"/>
              <w:ind w:leftChars="-20" w:left="-42"/>
              <w:jc w:val="lef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陕西省西咸新区秦汉新城开发建设集团有限责任公司</w:t>
            </w:r>
          </w:p>
        </w:tc>
        <w:tc>
          <w:tcPr>
            <w:tcW w:w="333" w:type="pct"/>
            <w:vAlign w:val="center"/>
          </w:tcPr>
          <w:p w:rsidR="00A35D1A" w:rsidRPr="00EA612D" w:rsidRDefault="00A35D1A" w:rsidP="00A35D1A">
            <w:pPr>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注</w:t>
            </w:r>
          </w:p>
        </w:tc>
        <w:tc>
          <w:tcPr>
            <w:tcW w:w="671" w:type="pct"/>
            <w:vAlign w:val="center"/>
          </w:tcPr>
          <w:p w:rsidR="00A35D1A" w:rsidRPr="00EA612D" w:rsidRDefault="00A35D1A" w:rsidP="00A35D1A">
            <w:pPr>
              <w:jc w:val="center"/>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3,836.20</w:t>
            </w:r>
          </w:p>
        </w:tc>
        <w:tc>
          <w:tcPr>
            <w:tcW w:w="770" w:type="pct"/>
            <w:shd w:val="clear" w:color="auto" w:fill="auto"/>
            <w:vAlign w:val="center"/>
          </w:tcPr>
          <w:p w:rsidR="00A35D1A" w:rsidRPr="00EA612D" w:rsidRDefault="00A35D1A" w:rsidP="00A35D1A">
            <w:pPr>
              <w:jc w:val="center"/>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6,072.40</w:t>
            </w:r>
          </w:p>
        </w:tc>
        <w:tc>
          <w:tcPr>
            <w:tcW w:w="1129" w:type="pct"/>
            <w:shd w:val="clear" w:color="auto" w:fill="auto"/>
            <w:vAlign w:val="center"/>
          </w:tcPr>
          <w:p w:rsidR="00A35D1A" w:rsidRPr="00EA612D" w:rsidRDefault="00A35D1A" w:rsidP="00A35D1A">
            <w:pPr>
              <w:jc w:val="center"/>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4-5</w:t>
            </w:r>
            <w:r w:rsidRPr="00EA612D">
              <w:rPr>
                <w:rFonts w:ascii="Times New Roman" w:eastAsia="宋体" w:hAnsi="Times New Roman" w:cs="Times New Roman"/>
                <w:color w:val="000000" w:themeColor="text1"/>
                <w:sz w:val="16"/>
                <w:szCs w:val="16"/>
              </w:rPr>
              <w:t>年</w:t>
            </w:r>
            <w:r w:rsidRPr="00EA612D">
              <w:rPr>
                <w:rFonts w:ascii="Times New Roman" w:eastAsia="宋体" w:hAnsi="Times New Roman" w:cs="Times New Roman"/>
                <w:color w:val="000000" w:themeColor="text1"/>
                <w:sz w:val="16"/>
                <w:szCs w:val="16"/>
              </w:rPr>
              <w:t>4,000.00</w:t>
            </w:r>
            <w:r w:rsidRPr="00EA612D">
              <w:rPr>
                <w:rFonts w:ascii="Times New Roman" w:eastAsia="宋体" w:hAnsi="Times New Roman" w:cs="Times New Roman"/>
                <w:color w:val="000000" w:themeColor="text1"/>
                <w:sz w:val="16"/>
                <w:szCs w:val="16"/>
              </w:rPr>
              <w:t>万元；</w:t>
            </w:r>
            <w:r w:rsidRPr="00EA612D">
              <w:rPr>
                <w:rFonts w:ascii="Times New Roman" w:eastAsia="宋体" w:hAnsi="Times New Roman" w:cs="Times New Roman"/>
                <w:color w:val="000000" w:themeColor="text1"/>
                <w:sz w:val="16"/>
                <w:szCs w:val="16"/>
              </w:rPr>
              <w:t>5</w:t>
            </w:r>
            <w:r w:rsidRPr="00EA612D">
              <w:rPr>
                <w:rFonts w:ascii="Times New Roman" w:eastAsia="宋体" w:hAnsi="Times New Roman" w:cs="Times New Roman"/>
                <w:color w:val="000000" w:themeColor="text1"/>
                <w:sz w:val="16"/>
                <w:szCs w:val="16"/>
              </w:rPr>
              <w:t>年以上</w:t>
            </w:r>
            <w:r w:rsidRPr="00EA612D">
              <w:rPr>
                <w:rFonts w:ascii="Times New Roman" w:eastAsia="宋体" w:hAnsi="Times New Roman" w:cs="Times New Roman"/>
                <w:color w:val="000000" w:themeColor="text1"/>
                <w:sz w:val="16"/>
                <w:szCs w:val="16"/>
              </w:rPr>
              <w:t>2,072.40</w:t>
            </w:r>
            <w:r w:rsidRPr="00EA612D">
              <w:rPr>
                <w:rFonts w:ascii="Times New Roman" w:eastAsia="宋体" w:hAnsi="Times New Roman" w:cs="Times New Roman"/>
                <w:color w:val="000000" w:themeColor="text1"/>
                <w:sz w:val="16"/>
                <w:szCs w:val="16"/>
              </w:rPr>
              <w:t>万元</w:t>
            </w:r>
          </w:p>
        </w:tc>
        <w:tc>
          <w:tcPr>
            <w:tcW w:w="668" w:type="pct"/>
            <w:shd w:val="clear" w:color="auto" w:fill="auto"/>
            <w:vAlign w:val="center"/>
          </w:tcPr>
          <w:p w:rsidR="00A35D1A" w:rsidRPr="00EA612D" w:rsidRDefault="00A35D1A" w:rsidP="00A35D1A">
            <w:pPr>
              <w:jc w:val="center"/>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6,072.40</w:t>
            </w:r>
          </w:p>
        </w:tc>
        <w:tc>
          <w:tcPr>
            <w:tcW w:w="561" w:type="pct"/>
            <w:vAlign w:val="center"/>
          </w:tcPr>
          <w:p w:rsidR="00A35D1A" w:rsidRPr="00EA612D" w:rsidRDefault="00A35D1A" w:rsidP="00A35D1A">
            <w:pPr>
              <w:jc w:val="center"/>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100.00</w:t>
            </w:r>
          </w:p>
        </w:tc>
      </w:tr>
    </w:tbl>
    <w:p w:rsidR="00A35D1A" w:rsidRPr="00EA612D" w:rsidRDefault="00A35D1A" w:rsidP="00F663C7">
      <w:pPr>
        <w:spacing w:beforeLines="50" w:before="156" w:afterLines="50" w:after="156" w:line="360" w:lineRule="auto"/>
        <w:ind w:leftChars="50" w:left="105" w:rightChars="50" w:right="105" w:firstLineChars="200" w:firstLine="480"/>
        <w:rPr>
          <w:rStyle w:val="a5"/>
          <w:rFonts w:asciiTheme="minorEastAsia" w:hAnsiTheme="minorEastAsia" w:cs="Times New Roman"/>
          <w:b w:val="0"/>
          <w:color w:val="000000" w:themeColor="text1"/>
          <w:sz w:val="24"/>
          <w:szCs w:val="24"/>
        </w:rPr>
      </w:pPr>
      <w:r w:rsidRPr="00EA612D">
        <w:rPr>
          <w:rStyle w:val="a5"/>
          <w:rFonts w:asciiTheme="minorEastAsia" w:hAnsiTheme="minorEastAsia" w:cs="Times New Roman"/>
          <w:b w:val="0"/>
          <w:color w:val="000000" w:themeColor="text1"/>
          <w:sz w:val="24"/>
          <w:szCs w:val="24"/>
        </w:rPr>
        <w:t>注：公司之子公司西安大唐电信有限公司预付陕西省西咸新区秦汉新城开发建设集团有限责任公司</w:t>
      </w:r>
      <w:r w:rsidR="006302B1" w:rsidRPr="00EA612D">
        <w:rPr>
          <w:rStyle w:val="a5"/>
          <w:rFonts w:asciiTheme="minorEastAsia" w:hAnsiTheme="minorEastAsia" w:cs="Times New Roman"/>
          <w:b w:val="0"/>
          <w:color w:val="000000" w:themeColor="text1"/>
          <w:sz w:val="24"/>
          <w:szCs w:val="24"/>
        </w:rPr>
        <w:t>6,072.40</w:t>
      </w:r>
      <w:r w:rsidR="006302B1" w:rsidRPr="00EA612D">
        <w:rPr>
          <w:rStyle w:val="a5"/>
          <w:rFonts w:asciiTheme="minorEastAsia" w:hAnsiTheme="minorEastAsia" w:cs="Times New Roman" w:hint="eastAsia"/>
          <w:b w:val="0"/>
          <w:color w:val="000000" w:themeColor="text1"/>
          <w:sz w:val="24"/>
          <w:szCs w:val="24"/>
        </w:rPr>
        <w:t>万</w:t>
      </w:r>
      <w:r w:rsidRPr="00EA612D">
        <w:rPr>
          <w:rStyle w:val="a5"/>
          <w:rFonts w:asciiTheme="minorEastAsia" w:hAnsiTheme="minorEastAsia" w:cs="Times New Roman"/>
          <w:b w:val="0"/>
          <w:color w:val="000000" w:themeColor="text1"/>
          <w:sz w:val="24"/>
          <w:szCs w:val="24"/>
        </w:rPr>
        <w:t>元。2016年度由于此项目相关人员涉及</w:t>
      </w:r>
      <w:r w:rsidR="00F57650" w:rsidRPr="00EA612D">
        <w:rPr>
          <w:rStyle w:val="a5"/>
          <w:rFonts w:asciiTheme="minorEastAsia" w:hAnsiTheme="minorEastAsia" w:cs="Times New Roman" w:hint="eastAsia"/>
          <w:b w:val="0"/>
          <w:color w:val="000000" w:themeColor="text1"/>
          <w:sz w:val="24"/>
          <w:szCs w:val="24"/>
        </w:rPr>
        <w:t>其他</w:t>
      </w:r>
      <w:r w:rsidRPr="00EA612D">
        <w:rPr>
          <w:rStyle w:val="a5"/>
          <w:rFonts w:asciiTheme="minorEastAsia" w:hAnsiTheme="minorEastAsia" w:cs="Times New Roman" w:hint="eastAsia"/>
          <w:b w:val="0"/>
          <w:color w:val="000000" w:themeColor="text1"/>
          <w:sz w:val="24"/>
          <w:szCs w:val="24"/>
        </w:rPr>
        <w:t>案件，</w:t>
      </w:r>
      <w:proofErr w:type="gramStart"/>
      <w:r w:rsidR="005847EB" w:rsidRPr="00EA612D">
        <w:rPr>
          <w:rStyle w:val="a5"/>
          <w:rFonts w:asciiTheme="minorEastAsia" w:hAnsiTheme="minorEastAsia" w:cs="Times New Roman"/>
          <w:b w:val="0"/>
          <w:color w:val="000000" w:themeColor="text1"/>
          <w:sz w:val="24"/>
          <w:szCs w:val="24"/>
        </w:rPr>
        <w:t>且律师</w:t>
      </w:r>
      <w:proofErr w:type="gramEnd"/>
      <w:r w:rsidR="005847EB" w:rsidRPr="00EA612D">
        <w:rPr>
          <w:rStyle w:val="a5"/>
          <w:rFonts w:asciiTheme="minorEastAsia" w:hAnsiTheme="minorEastAsia" w:cs="Times New Roman"/>
          <w:b w:val="0"/>
          <w:color w:val="000000" w:themeColor="text1"/>
          <w:sz w:val="24"/>
          <w:szCs w:val="24"/>
        </w:rPr>
        <w:t>专项意见</w:t>
      </w:r>
      <w:r w:rsidR="00966BDE" w:rsidRPr="00EA612D">
        <w:rPr>
          <w:rStyle w:val="a5"/>
          <w:rFonts w:asciiTheme="minorEastAsia" w:hAnsiTheme="minorEastAsia" w:cs="Times New Roman" w:hint="eastAsia"/>
          <w:b w:val="0"/>
          <w:color w:val="000000" w:themeColor="text1"/>
          <w:sz w:val="24"/>
          <w:szCs w:val="24"/>
        </w:rPr>
        <w:t>认为</w:t>
      </w:r>
      <w:r w:rsidR="005847EB" w:rsidRPr="00EA612D">
        <w:rPr>
          <w:rStyle w:val="a5"/>
          <w:rFonts w:asciiTheme="minorEastAsia" w:hAnsiTheme="minorEastAsia" w:cs="Times New Roman"/>
          <w:b w:val="0"/>
          <w:color w:val="000000" w:themeColor="text1"/>
          <w:sz w:val="24"/>
          <w:szCs w:val="24"/>
        </w:rPr>
        <w:t>收回此笔</w:t>
      </w:r>
      <w:r w:rsidR="005847EB" w:rsidRPr="00EA612D">
        <w:rPr>
          <w:rStyle w:val="a5"/>
          <w:rFonts w:asciiTheme="minorEastAsia" w:hAnsiTheme="minorEastAsia" w:cs="Times New Roman" w:hint="eastAsia"/>
          <w:b w:val="0"/>
          <w:color w:val="000000" w:themeColor="text1"/>
          <w:sz w:val="24"/>
          <w:szCs w:val="24"/>
        </w:rPr>
        <w:t>预付账款</w:t>
      </w:r>
      <w:r w:rsidR="00845AF9" w:rsidRPr="00EA612D">
        <w:rPr>
          <w:rStyle w:val="a5"/>
          <w:rFonts w:asciiTheme="minorEastAsia" w:hAnsiTheme="minorEastAsia" w:cs="Times New Roman"/>
          <w:b w:val="0"/>
          <w:color w:val="000000" w:themeColor="text1"/>
          <w:sz w:val="24"/>
          <w:szCs w:val="24"/>
        </w:rPr>
        <w:t>的可能性</w:t>
      </w:r>
      <w:r w:rsidR="00845AF9" w:rsidRPr="00EA612D">
        <w:rPr>
          <w:rStyle w:val="a5"/>
          <w:rFonts w:asciiTheme="minorEastAsia" w:hAnsiTheme="minorEastAsia" w:cs="Times New Roman" w:hint="eastAsia"/>
          <w:b w:val="0"/>
          <w:color w:val="000000" w:themeColor="text1"/>
          <w:sz w:val="24"/>
          <w:szCs w:val="24"/>
        </w:rPr>
        <w:t>较小</w:t>
      </w:r>
      <w:r w:rsidR="005847EB" w:rsidRPr="00EA612D">
        <w:rPr>
          <w:rStyle w:val="a5"/>
          <w:rFonts w:asciiTheme="minorEastAsia" w:hAnsiTheme="minorEastAsia" w:cs="Times New Roman" w:hint="eastAsia"/>
          <w:b w:val="0"/>
          <w:color w:val="000000" w:themeColor="text1"/>
          <w:sz w:val="24"/>
          <w:szCs w:val="24"/>
        </w:rPr>
        <w:t>，</w:t>
      </w:r>
      <w:r w:rsidRPr="00EA612D">
        <w:rPr>
          <w:rStyle w:val="a5"/>
          <w:rFonts w:asciiTheme="minorEastAsia" w:hAnsiTheme="minorEastAsia" w:cs="Times New Roman"/>
          <w:b w:val="0"/>
          <w:color w:val="000000" w:themeColor="text1"/>
          <w:sz w:val="24"/>
          <w:szCs w:val="24"/>
        </w:rPr>
        <w:t>故</w:t>
      </w:r>
      <w:r w:rsidR="00966BDE" w:rsidRPr="00EA612D">
        <w:rPr>
          <w:rStyle w:val="a5"/>
          <w:rFonts w:asciiTheme="minorEastAsia" w:hAnsiTheme="minorEastAsia" w:cs="Times New Roman" w:hint="eastAsia"/>
          <w:b w:val="0"/>
          <w:color w:val="000000" w:themeColor="text1"/>
          <w:sz w:val="24"/>
          <w:szCs w:val="24"/>
        </w:rPr>
        <w:t>公司</w:t>
      </w:r>
      <w:r w:rsidRPr="00EA612D">
        <w:rPr>
          <w:rStyle w:val="a5"/>
          <w:rFonts w:asciiTheme="minorEastAsia" w:hAnsiTheme="minorEastAsia" w:cs="Times New Roman"/>
          <w:b w:val="0"/>
          <w:color w:val="000000" w:themeColor="text1"/>
          <w:sz w:val="24"/>
          <w:szCs w:val="24"/>
        </w:rPr>
        <w:t>按照谨慎性原则100%</w:t>
      </w:r>
      <w:r w:rsidR="006302B1" w:rsidRPr="00EA612D">
        <w:rPr>
          <w:rStyle w:val="a5"/>
          <w:rFonts w:asciiTheme="minorEastAsia" w:hAnsiTheme="minorEastAsia" w:cs="Times New Roman" w:hint="eastAsia"/>
          <w:b w:val="0"/>
          <w:color w:val="000000" w:themeColor="text1"/>
          <w:sz w:val="24"/>
          <w:szCs w:val="24"/>
        </w:rPr>
        <w:t>计提</w:t>
      </w:r>
      <w:r w:rsidRPr="00EA612D">
        <w:rPr>
          <w:rStyle w:val="a5"/>
          <w:rFonts w:asciiTheme="minorEastAsia" w:hAnsiTheme="minorEastAsia" w:cs="Times New Roman"/>
          <w:b w:val="0"/>
          <w:color w:val="000000" w:themeColor="text1"/>
          <w:sz w:val="24"/>
          <w:szCs w:val="24"/>
        </w:rPr>
        <w:t>坏账准备。</w:t>
      </w:r>
    </w:p>
    <w:p w:rsidR="00A35D1A" w:rsidRPr="00EA612D" w:rsidRDefault="00A35D1A" w:rsidP="00F663C7">
      <w:pPr>
        <w:spacing w:beforeLines="50" w:before="156" w:afterLines="50" w:after="156" w:line="360" w:lineRule="auto"/>
        <w:ind w:leftChars="50" w:left="105" w:rightChars="50" w:right="105" w:firstLineChars="200" w:firstLine="482"/>
        <w:rPr>
          <w:rStyle w:val="a5"/>
          <w:rFonts w:asciiTheme="minorEastAsia" w:hAnsiTheme="minorEastAsia" w:cs="Times New Roman"/>
          <w:color w:val="000000" w:themeColor="text1"/>
          <w:sz w:val="24"/>
          <w:szCs w:val="24"/>
        </w:rPr>
      </w:pPr>
      <w:r w:rsidRPr="00EA612D">
        <w:rPr>
          <w:rStyle w:val="a5"/>
          <w:rFonts w:asciiTheme="minorEastAsia" w:hAnsiTheme="minorEastAsia" w:cs="Times New Roman"/>
          <w:color w:val="000000" w:themeColor="text1"/>
          <w:sz w:val="24"/>
          <w:szCs w:val="24"/>
        </w:rPr>
        <w:t>会计师意见：</w:t>
      </w:r>
    </w:p>
    <w:p w:rsidR="00A35D1A" w:rsidRPr="00EA612D" w:rsidRDefault="009417B2" w:rsidP="002765B3">
      <w:pPr>
        <w:spacing w:beforeLines="50" w:before="156" w:afterLines="50" w:after="156" w:line="360" w:lineRule="auto"/>
        <w:ind w:leftChars="50" w:left="105" w:rightChars="50" w:right="105" w:firstLineChars="200" w:firstLine="480"/>
        <w:jc w:val="left"/>
        <w:rPr>
          <w:rStyle w:val="a5"/>
          <w:rFonts w:asciiTheme="minorEastAsia" w:hAnsiTheme="minorEastAsia" w:cs="Times New Roman"/>
          <w:b w:val="0"/>
          <w:color w:val="000000" w:themeColor="text1"/>
          <w:sz w:val="24"/>
          <w:szCs w:val="24"/>
        </w:rPr>
      </w:pPr>
      <w:r w:rsidRPr="00EA612D">
        <w:rPr>
          <w:rStyle w:val="a5"/>
          <w:rFonts w:asciiTheme="minorEastAsia" w:hAnsiTheme="minorEastAsia" w:cs="Times New Roman" w:hint="eastAsia"/>
          <w:b w:val="0"/>
          <w:color w:val="000000" w:themeColor="text1"/>
          <w:sz w:val="24"/>
          <w:szCs w:val="24"/>
        </w:rPr>
        <w:t>我们获取了公司预付款项坏账准备明细表，复核其账龄划分及计算准确性，并检查计提坏账准备是否符合公司披露的会计政策，本期有无发生变更，对采用单独计提法计提坏账准备的预付款项复核计提依据，必要时利用了专家工作，获取律师出具的法律意见书，评价公司坏账准备计提比例是否合理。我们认为：公司本期预付款项账龄划分和坏账准备计算准确，对于单项认定的预付款项依据充分，符合公司的实际情况及企业会计准则的规定。</w:t>
      </w:r>
    </w:p>
    <w:p w:rsidR="00A35D1A" w:rsidRPr="00EA612D" w:rsidRDefault="00A35D1A" w:rsidP="00F663C7">
      <w:pPr>
        <w:spacing w:beforeLines="50" w:before="156" w:afterLines="50" w:after="156" w:line="360" w:lineRule="auto"/>
        <w:ind w:leftChars="50" w:left="105" w:rightChars="50" w:right="105" w:firstLineChars="200" w:firstLine="482"/>
        <w:jc w:val="left"/>
        <w:rPr>
          <w:rStyle w:val="a5"/>
          <w:rFonts w:asciiTheme="minorEastAsia" w:hAnsiTheme="minorEastAsia" w:cs="Times New Roman"/>
          <w:color w:val="000000" w:themeColor="text1"/>
          <w:sz w:val="24"/>
          <w:szCs w:val="24"/>
        </w:rPr>
      </w:pPr>
      <w:r w:rsidRPr="00EA612D">
        <w:rPr>
          <w:rStyle w:val="a5"/>
          <w:rFonts w:asciiTheme="minorEastAsia" w:hAnsiTheme="minorEastAsia" w:cs="Times New Roman"/>
          <w:color w:val="000000" w:themeColor="text1"/>
          <w:sz w:val="24"/>
          <w:szCs w:val="24"/>
        </w:rPr>
        <w:t xml:space="preserve">3.其他应收款坏账准备。年报披露，本期其他应收款余额为2.59 亿元，计提坏账准备 2685 万元；2015 </w:t>
      </w:r>
      <w:proofErr w:type="gramStart"/>
      <w:r w:rsidRPr="00EA612D">
        <w:rPr>
          <w:rStyle w:val="a5"/>
          <w:rFonts w:asciiTheme="minorEastAsia" w:hAnsiTheme="minorEastAsia" w:cs="Times New Roman"/>
          <w:color w:val="000000" w:themeColor="text1"/>
          <w:sz w:val="24"/>
          <w:szCs w:val="24"/>
        </w:rPr>
        <w:t>年其他</w:t>
      </w:r>
      <w:proofErr w:type="gramEnd"/>
      <w:r w:rsidRPr="00EA612D">
        <w:rPr>
          <w:rStyle w:val="a5"/>
          <w:rFonts w:asciiTheme="minorEastAsia" w:hAnsiTheme="minorEastAsia" w:cs="Times New Roman"/>
          <w:color w:val="000000" w:themeColor="text1"/>
          <w:sz w:val="24"/>
          <w:szCs w:val="24"/>
        </w:rPr>
        <w:t>应收款余额为3.43 亿元，计提坏账准备 932 万元。请结合主要其他应收</w:t>
      </w:r>
      <w:proofErr w:type="gramStart"/>
      <w:r w:rsidRPr="00EA612D">
        <w:rPr>
          <w:rStyle w:val="a5"/>
          <w:rFonts w:asciiTheme="minorEastAsia" w:hAnsiTheme="minorEastAsia" w:cs="Times New Roman"/>
          <w:color w:val="000000" w:themeColor="text1"/>
          <w:sz w:val="24"/>
          <w:szCs w:val="24"/>
        </w:rPr>
        <w:t>款发生</w:t>
      </w:r>
      <w:proofErr w:type="gramEnd"/>
      <w:r w:rsidRPr="00EA612D">
        <w:rPr>
          <w:rStyle w:val="a5"/>
          <w:rFonts w:asciiTheme="minorEastAsia" w:hAnsiTheme="minorEastAsia" w:cs="Times New Roman"/>
          <w:color w:val="000000" w:themeColor="text1"/>
          <w:sz w:val="24"/>
          <w:szCs w:val="24"/>
        </w:rPr>
        <w:t>的具体变化，补充披露本期计提坏账准备的主要考虑，2016 年计提比例大幅高于2015年度的原因、依据及合</w:t>
      </w:r>
      <w:r w:rsidRPr="00EA612D">
        <w:rPr>
          <w:rStyle w:val="a5"/>
          <w:rFonts w:asciiTheme="minorEastAsia" w:hAnsiTheme="minorEastAsia" w:cs="Times New Roman"/>
          <w:color w:val="000000" w:themeColor="text1"/>
          <w:sz w:val="24"/>
          <w:szCs w:val="24"/>
        </w:rPr>
        <w:lastRenderedPageBreak/>
        <w:t>理性。请会计师核查并发表意见。</w:t>
      </w:r>
    </w:p>
    <w:p w:rsidR="00A35D1A" w:rsidRPr="00EA612D" w:rsidRDefault="00A35D1A" w:rsidP="00F663C7">
      <w:pPr>
        <w:spacing w:beforeLines="50" w:before="156" w:afterLines="50" w:after="156" w:line="360" w:lineRule="auto"/>
        <w:ind w:leftChars="50" w:left="105" w:rightChars="50" w:right="105" w:firstLineChars="200" w:firstLine="482"/>
        <w:rPr>
          <w:rStyle w:val="a5"/>
          <w:rFonts w:asciiTheme="minorEastAsia" w:hAnsiTheme="minorEastAsia" w:cs="Times New Roman"/>
          <w:color w:val="000000" w:themeColor="text1"/>
          <w:sz w:val="24"/>
          <w:szCs w:val="24"/>
        </w:rPr>
      </w:pPr>
      <w:r w:rsidRPr="00EA612D">
        <w:rPr>
          <w:rStyle w:val="a5"/>
          <w:rFonts w:asciiTheme="minorEastAsia" w:hAnsiTheme="minorEastAsia" w:cs="Times New Roman"/>
          <w:color w:val="000000" w:themeColor="text1"/>
          <w:sz w:val="24"/>
          <w:szCs w:val="24"/>
        </w:rPr>
        <w:t>公司回复：</w:t>
      </w:r>
    </w:p>
    <w:p w:rsidR="00A35D1A" w:rsidRPr="00EA612D" w:rsidRDefault="00F530DF" w:rsidP="00F663C7">
      <w:pPr>
        <w:spacing w:beforeLines="50" w:before="156" w:afterLines="50" w:after="156" w:line="360" w:lineRule="auto"/>
        <w:ind w:leftChars="50" w:left="105" w:rightChars="50" w:right="105" w:firstLineChars="200" w:firstLine="480"/>
        <w:rPr>
          <w:rStyle w:val="a5"/>
          <w:rFonts w:asciiTheme="minorEastAsia" w:hAnsiTheme="minorEastAsia" w:cs="Times New Roman"/>
          <w:b w:val="0"/>
          <w:color w:val="000000" w:themeColor="text1"/>
          <w:sz w:val="24"/>
          <w:szCs w:val="24"/>
        </w:rPr>
      </w:pPr>
      <w:r w:rsidRPr="00EA612D">
        <w:rPr>
          <w:rStyle w:val="a5"/>
          <w:rFonts w:asciiTheme="minorEastAsia" w:hAnsiTheme="minorEastAsia" w:cs="Times New Roman" w:hint="eastAsia"/>
          <w:b w:val="0"/>
          <w:color w:val="000000" w:themeColor="text1"/>
          <w:sz w:val="24"/>
          <w:szCs w:val="24"/>
        </w:rPr>
        <w:t>（1）</w:t>
      </w:r>
      <w:r w:rsidR="00A35D1A" w:rsidRPr="00EA612D">
        <w:rPr>
          <w:rStyle w:val="a5"/>
          <w:rFonts w:asciiTheme="minorEastAsia" w:hAnsiTheme="minorEastAsia" w:cs="Times New Roman"/>
          <w:b w:val="0"/>
          <w:color w:val="000000" w:themeColor="text1"/>
          <w:sz w:val="24"/>
          <w:szCs w:val="24"/>
        </w:rPr>
        <w:t>结合主要其他应收</w:t>
      </w:r>
      <w:proofErr w:type="gramStart"/>
      <w:r w:rsidR="00A35D1A" w:rsidRPr="00EA612D">
        <w:rPr>
          <w:rStyle w:val="a5"/>
          <w:rFonts w:asciiTheme="minorEastAsia" w:hAnsiTheme="minorEastAsia" w:cs="Times New Roman"/>
          <w:b w:val="0"/>
          <w:color w:val="000000" w:themeColor="text1"/>
          <w:sz w:val="24"/>
          <w:szCs w:val="24"/>
        </w:rPr>
        <w:t>款发生</w:t>
      </w:r>
      <w:proofErr w:type="gramEnd"/>
      <w:r w:rsidR="00A35D1A" w:rsidRPr="00EA612D">
        <w:rPr>
          <w:rStyle w:val="a5"/>
          <w:rFonts w:asciiTheme="minorEastAsia" w:hAnsiTheme="minorEastAsia" w:cs="Times New Roman"/>
          <w:b w:val="0"/>
          <w:color w:val="000000" w:themeColor="text1"/>
          <w:sz w:val="24"/>
          <w:szCs w:val="24"/>
        </w:rPr>
        <w:t>的具体变化，补充披露本期计提坏账准备的主要考虑</w:t>
      </w:r>
    </w:p>
    <w:p w:rsidR="00A35D1A" w:rsidRPr="00EA612D" w:rsidRDefault="00A35D1A" w:rsidP="00F663C7">
      <w:pPr>
        <w:spacing w:beforeLines="50" w:before="156" w:afterLines="50" w:after="156" w:line="360" w:lineRule="auto"/>
        <w:ind w:leftChars="50" w:left="105" w:rightChars="50" w:right="105" w:firstLineChars="200" w:firstLine="480"/>
        <w:rPr>
          <w:rStyle w:val="a5"/>
          <w:rFonts w:asciiTheme="minorEastAsia" w:hAnsiTheme="minorEastAsia" w:cs="Times New Roman"/>
          <w:b w:val="0"/>
          <w:color w:val="000000" w:themeColor="text1"/>
          <w:sz w:val="24"/>
          <w:szCs w:val="24"/>
        </w:rPr>
      </w:pPr>
      <w:r w:rsidRPr="00EA612D">
        <w:rPr>
          <w:rStyle w:val="a5"/>
          <w:rFonts w:asciiTheme="minorEastAsia" w:hAnsiTheme="minorEastAsia" w:cs="Times New Roman"/>
          <w:b w:val="0"/>
          <w:color w:val="000000" w:themeColor="text1"/>
          <w:sz w:val="24"/>
          <w:szCs w:val="24"/>
        </w:rPr>
        <w:t>公司其他应收款坏账准备</w:t>
      </w:r>
      <w:r w:rsidR="001369FD" w:rsidRPr="00EA612D">
        <w:rPr>
          <w:rStyle w:val="a5"/>
          <w:rFonts w:asciiTheme="minorEastAsia" w:hAnsiTheme="minorEastAsia" w:cs="Times New Roman" w:hint="eastAsia"/>
          <w:b w:val="0"/>
          <w:color w:val="000000" w:themeColor="text1"/>
          <w:sz w:val="24"/>
          <w:szCs w:val="24"/>
        </w:rPr>
        <w:t>计提</w:t>
      </w:r>
      <w:r w:rsidRPr="00EA612D">
        <w:rPr>
          <w:rStyle w:val="a5"/>
          <w:rFonts w:asciiTheme="minorEastAsia" w:hAnsiTheme="minorEastAsia" w:cs="Times New Roman"/>
          <w:b w:val="0"/>
          <w:color w:val="000000" w:themeColor="text1"/>
          <w:sz w:val="24"/>
          <w:szCs w:val="24"/>
        </w:rPr>
        <w:t>政策同问题1中应收款项坏账政策描述。</w:t>
      </w:r>
    </w:p>
    <w:p w:rsidR="00A35D1A" w:rsidRPr="00EA612D" w:rsidRDefault="00572951" w:rsidP="00F663C7">
      <w:pPr>
        <w:spacing w:beforeLines="50" w:before="156" w:afterLines="50" w:after="156" w:line="360" w:lineRule="auto"/>
        <w:ind w:leftChars="50" w:left="105" w:rightChars="50" w:right="105" w:firstLineChars="200" w:firstLine="480"/>
        <w:rPr>
          <w:rStyle w:val="a5"/>
          <w:rFonts w:asciiTheme="minorEastAsia" w:hAnsiTheme="minorEastAsia" w:cs="Times New Roman"/>
          <w:b w:val="0"/>
          <w:color w:val="000000" w:themeColor="text1"/>
          <w:sz w:val="24"/>
          <w:szCs w:val="24"/>
        </w:rPr>
      </w:pPr>
      <w:r w:rsidRPr="00EA612D">
        <w:rPr>
          <w:rStyle w:val="a5"/>
          <w:rFonts w:asciiTheme="minorEastAsia" w:hAnsiTheme="minorEastAsia" w:cs="宋体" w:hint="eastAsia"/>
          <w:b w:val="0"/>
          <w:color w:val="000000" w:themeColor="text1"/>
          <w:sz w:val="24"/>
          <w:szCs w:val="24"/>
        </w:rPr>
        <w:t>①</w:t>
      </w:r>
      <w:r w:rsidR="00A35D1A" w:rsidRPr="00EA612D">
        <w:rPr>
          <w:rStyle w:val="a5"/>
          <w:rFonts w:asciiTheme="minorEastAsia" w:hAnsiTheme="minorEastAsia" w:cs="Times New Roman"/>
          <w:b w:val="0"/>
          <w:color w:val="000000" w:themeColor="text1"/>
          <w:sz w:val="24"/>
          <w:szCs w:val="24"/>
        </w:rPr>
        <w:t>2016年末公司其他应收款分类与年初对比情况如下：</w:t>
      </w:r>
    </w:p>
    <w:p w:rsidR="00A35D1A" w:rsidRPr="00EA612D" w:rsidRDefault="00A35D1A" w:rsidP="00A35D1A">
      <w:pPr>
        <w:jc w:val="right"/>
        <w:rPr>
          <w:rStyle w:val="a5"/>
          <w:rFonts w:ascii="Times New Roman" w:hAnsi="Times New Roman" w:cs="Times New Roman"/>
          <w:b w:val="0"/>
          <w:color w:val="000000" w:themeColor="text1"/>
          <w:szCs w:val="21"/>
        </w:rPr>
      </w:pPr>
      <w:r w:rsidRPr="00EA612D">
        <w:rPr>
          <w:rStyle w:val="a5"/>
          <w:rFonts w:ascii="Times New Roman" w:hAnsi="Times New Roman" w:cs="Times New Roman"/>
          <w:b w:val="0"/>
          <w:color w:val="000000" w:themeColor="text1"/>
          <w:szCs w:val="21"/>
        </w:rPr>
        <w:t>单位：人民币万元</w:t>
      </w:r>
    </w:p>
    <w:tbl>
      <w:tblPr>
        <w:tblW w:w="5000" w:type="pct"/>
        <w:tblBorders>
          <w:top w:val="single" w:sz="12" w:space="0" w:color="auto"/>
          <w:bottom w:val="single" w:sz="12" w:space="0" w:color="auto"/>
          <w:insideH w:val="dotted" w:sz="4" w:space="0" w:color="auto"/>
          <w:insideV w:val="dotted" w:sz="4" w:space="0" w:color="auto"/>
        </w:tblBorders>
        <w:tblCellMar>
          <w:top w:w="28" w:type="dxa"/>
          <w:bottom w:w="28" w:type="dxa"/>
        </w:tblCellMar>
        <w:tblLook w:val="04A0" w:firstRow="1" w:lastRow="0" w:firstColumn="1" w:lastColumn="0" w:noHBand="0" w:noVBand="1"/>
      </w:tblPr>
      <w:tblGrid>
        <w:gridCol w:w="1882"/>
        <w:gridCol w:w="1326"/>
        <w:gridCol w:w="1348"/>
        <w:gridCol w:w="1319"/>
        <w:gridCol w:w="1321"/>
        <w:gridCol w:w="1326"/>
      </w:tblGrid>
      <w:tr w:rsidR="00835FFC" w:rsidRPr="00EA612D" w:rsidTr="00A35D1A">
        <w:trPr>
          <w:trHeight w:val="284"/>
          <w:tblHeader/>
        </w:trPr>
        <w:tc>
          <w:tcPr>
            <w:tcW w:w="1104" w:type="pct"/>
            <w:vMerge w:val="restart"/>
            <w:shd w:val="clear" w:color="auto" w:fill="auto"/>
            <w:vAlign w:val="center"/>
            <w:hideMark/>
          </w:tcPr>
          <w:p w:rsidR="00A35D1A" w:rsidRPr="00EA612D" w:rsidRDefault="00A35D1A" w:rsidP="00A35D1A">
            <w:pPr>
              <w:adjustRightInd w:val="0"/>
              <w:snapToGrid w:val="0"/>
              <w:spacing w:line="200" w:lineRule="atLeast"/>
              <w:jc w:val="center"/>
              <w:rPr>
                <w:rFonts w:ascii="Times New Roman" w:eastAsia="宋体" w:hAnsi="Times New Roman" w:cs="Times New Roman"/>
                <w:color w:val="000000" w:themeColor="text1"/>
                <w:sz w:val="14"/>
                <w:szCs w:val="16"/>
              </w:rPr>
            </w:pPr>
            <w:r w:rsidRPr="00EA612D">
              <w:rPr>
                <w:rFonts w:ascii="Times New Roman" w:eastAsia="宋体" w:hAnsi="Times New Roman" w:cs="Times New Roman"/>
                <w:color w:val="000000" w:themeColor="text1"/>
                <w:sz w:val="14"/>
                <w:szCs w:val="16"/>
              </w:rPr>
              <w:t>类别</w:t>
            </w:r>
          </w:p>
        </w:tc>
        <w:tc>
          <w:tcPr>
            <w:tcW w:w="1569" w:type="pct"/>
            <w:gridSpan w:val="2"/>
            <w:shd w:val="clear" w:color="auto" w:fill="auto"/>
            <w:noWrap/>
            <w:vAlign w:val="center"/>
            <w:hideMark/>
          </w:tcPr>
          <w:p w:rsidR="00A35D1A" w:rsidRPr="00EA612D" w:rsidRDefault="00A35D1A" w:rsidP="00A35D1A">
            <w:pPr>
              <w:adjustRightInd w:val="0"/>
              <w:snapToGrid w:val="0"/>
              <w:spacing w:line="200" w:lineRule="atLeast"/>
              <w:jc w:val="center"/>
              <w:rPr>
                <w:rFonts w:ascii="Times New Roman" w:eastAsia="宋体" w:hAnsi="Times New Roman" w:cs="Times New Roman"/>
                <w:color w:val="000000" w:themeColor="text1"/>
                <w:sz w:val="14"/>
                <w:szCs w:val="16"/>
              </w:rPr>
            </w:pPr>
            <w:r w:rsidRPr="00EA612D">
              <w:rPr>
                <w:rFonts w:ascii="Times New Roman" w:eastAsia="宋体" w:hAnsi="Times New Roman" w:cs="Times New Roman"/>
                <w:color w:val="000000" w:themeColor="text1"/>
                <w:sz w:val="14"/>
                <w:szCs w:val="16"/>
              </w:rPr>
              <w:t>期末余额</w:t>
            </w:r>
          </w:p>
        </w:tc>
        <w:tc>
          <w:tcPr>
            <w:tcW w:w="1549" w:type="pct"/>
            <w:gridSpan w:val="2"/>
            <w:shd w:val="clear" w:color="auto" w:fill="auto"/>
            <w:noWrap/>
            <w:vAlign w:val="center"/>
            <w:hideMark/>
          </w:tcPr>
          <w:p w:rsidR="00A35D1A" w:rsidRPr="00EA612D" w:rsidRDefault="00A35D1A" w:rsidP="00A35D1A">
            <w:pPr>
              <w:adjustRightInd w:val="0"/>
              <w:snapToGrid w:val="0"/>
              <w:spacing w:line="200" w:lineRule="atLeast"/>
              <w:jc w:val="center"/>
              <w:rPr>
                <w:rFonts w:ascii="Times New Roman" w:eastAsia="宋体" w:hAnsi="Times New Roman" w:cs="Times New Roman"/>
                <w:color w:val="000000" w:themeColor="text1"/>
                <w:sz w:val="14"/>
                <w:szCs w:val="16"/>
              </w:rPr>
            </w:pPr>
            <w:r w:rsidRPr="00EA612D">
              <w:rPr>
                <w:rFonts w:ascii="Times New Roman" w:eastAsia="宋体" w:hAnsi="Times New Roman" w:cs="Times New Roman"/>
                <w:color w:val="000000" w:themeColor="text1"/>
                <w:sz w:val="14"/>
                <w:szCs w:val="16"/>
              </w:rPr>
              <w:t>年初余额</w:t>
            </w:r>
          </w:p>
        </w:tc>
        <w:tc>
          <w:tcPr>
            <w:tcW w:w="778" w:type="pct"/>
            <w:vMerge w:val="restart"/>
            <w:vAlign w:val="center"/>
          </w:tcPr>
          <w:p w:rsidR="00A35D1A" w:rsidRPr="00EA612D" w:rsidRDefault="00A35D1A" w:rsidP="00A35D1A">
            <w:pPr>
              <w:adjustRightInd w:val="0"/>
              <w:snapToGrid w:val="0"/>
              <w:spacing w:line="200" w:lineRule="atLeast"/>
              <w:jc w:val="center"/>
              <w:rPr>
                <w:rFonts w:ascii="Times New Roman" w:eastAsia="宋体" w:hAnsi="Times New Roman" w:cs="Times New Roman"/>
                <w:color w:val="000000" w:themeColor="text1"/>
                <w:sz w:val="14"/>
                <w:szCs w:val="16"/>
              </w:rPr>
            </w:pPr>
            <w:r w:rsidRPr="00EA612D">
              <w:rPr>
                <w:rFonts w:ascii="Times New Roman" w:eastAsia="宋体" w:hAnsi="Times New Roman" w:cs="Times New Roman"/>
                <w:color w:val="000000" w:themeColor="text1"/>
                <w:sz w:val="14"/>
                <w:szCs w:val="16"/>
              </w:rPr>
              <w:t>2016</w:t>
            </w:r>
            <w:r w:rsidRPr="00EA612D">
              <w:rPr>
                <w:rFonts w:ascii="Times New Roman" w:eastAsia="宋体" w:hAnsi="Times New Roman" w:cs="Times New Roman"/>
                <w:color w:val="000000" w:themeColor="text1"/>
                <w:sz w:val="14"/>
                <w:szCs w:val="16"/>
              </w:rPr>
              <w:t>年度坏账准备增加额</w:t>
            </w:r>
          </w:p>
          <w:p w:rsidR="00A35D1A" w:rsidRPr="00EA612D" w:rsidRDefault="00A35D1A" w:rsidP="00A35D1A">
            <w:pPr>
              <w:adjustRightInd w:val="0"/>
              <w:snapToGrid w:val="0"/>
              <w:spacing w:line="200" w:lineRule="atLeast"/>
              <w:jc w:val="center"/>
              <w:rPr>
                <w:rFonts w:ascii="Times New Roman" w:eastAsia="宋体" w:hAnsi="Times New Roman" w:cs="Times New Roman"/>
                <w:color w:val="000000" w:themeColor="text1"/>
                <w:sz w:val="14"/>
                <w:szCs w:val="16"/>
              </w:rPr>
            </w:pPr>
            <w:r w:rsidRPr="00EA612D">
              <w:rPr>
                <w:rFonts w:ascii="Times New Roman" w:eastAsia="宋体" w:hAnsi="Times New Roman" w:cs="Times New Roman"/>
                <w:color w:val="000000" w:themeColor="text1"/>
                <w:sz w:val="14"/>
                <w:szCs w:val="16"/>
              </w:rPr>
              <w:t>（期末</w:t>
            </w:r>
            <w:r w:rsidRPr="00EA612D">
              <w:rPr>
                <w:rFonts w:ascii="Times New Roman" w:eastAsia="宋体" w:hAnsi="Times New Roman" w:cs="Times New Roman"/>
                <w:color w:val="000000" w:themeColor="text1"/>
                <w:sz w:val="14"/>
                <w:szCs w:val="16"/>
              </w:rPr>
              <w:t>-</w:t>
            </w:r>
            <w:r w:rsidRPr="00EA612D">
              <w:rPr>
                <w:rFonts w:ascii="Times New Roman" w:eastAsia="宋体" w:hAnsi="Times New Roman" w:cs="Times New Roman"/>
                <w:color w:val="000000" w:themeColor="text1"/>
                <w:sz w:val="14"/>
                <w:szCs w:val="16"/>
              </w:rPr>
              <w:t>期初）</w:t>
            </w:r>
          </w:p>
        </w:tc>
      </w:tr>
      <w:tr w:rsidR="00835FFC" w:rsidRPr="00EA612D" w:rsidTr="00A35D1A">
        <w:trPr>
          <w:trHeight w:val="284"/>
          <w:tblHeader/>
        </w:trPr>
        <w:tc>
          <w:tcPr>
            <w:tcW w:w="1104" w:type="pct"/>
            <w:vMerge/>
            <w:shd w:val="clear" w:color="auto" w:fill="auto"/>
            <w:vAlign w:val="center"/>
            <w:hideMark/>
          </w:tcPr>
          <w:p w:rsidR="00A35D1A" w:rsidRPr="00EA612D" w:rsidRDefault="00A35D1A" w:rsidP="00A35D1A">
            <w:pPr>
              <w:adjustRightInd w:val="0"/>
              <w:snapToGrid w:val="0"/>
              <w:spacing w:line="200" w:lineRule="atLeast"/>
              <w:rPr>
                <w:rFonts w:ascii="Times New Roman" w:eastAsia="宋体" w:hAnsi="Times New Roman" w:cs="Times New Roman"/>
                <w:color w:val="000000" w:themeColor="text1"/>
                <w:sz w:val="14"/>
                <w:szCs w:val="16"/>
              </w:rPr>
            </w:pPr>
          </w:p>
        </w:tc>
        <w:tc>
          <w:tcPr>
            <w:tcW w:w="778" w:type="pct"/>
            <w:shd w:val="clear" w:color="auto" w:fill="auto"/>
            <w:noWrap/>
            <w:vAlign w:val="center"/>
            <w:hideMark/>
          </w:tcPr>
          <w:p w:rsidR="00A35D1A" w:rsidRPr="00EA612D" w:rsidRDefault="00A35D1A" w:rsidP="00A35D1A">
            <w:pPr>
              <w:adjustRightInd w:val="0"/>
              <w:snapToGrid w:val="0"/>
              <w:spacing w:line="200" w:lineRule="atLeast"/>
              <w:ind w:rightChars="-26" w:right="-55"/>
              <w:jc w:val="center"/>
              <w:rPr>
                <w:rFonts w:ascii="Times New Roman" w:eastAsia="宋体" w:hAnsi="Times New Roman" w:cs="Times New Roman"/>
                <w:color w:val="000000" w:themeColor="text1"/>
                <w:sz w:val="14"/>
                <w:szCs w:val="16"/>
              </w:rPr>
            </w:pPr>
            <w:r w:rsidRPr="00EA612D">
              <w:rPr>
                <w:rFonts w:ascii="Times New Roman" w:eastAsia="宋体" w:hAnsi="Times New Roman" w:cs="Times New Roman"/>
                <w:color w:val="000000" w:themeColor="text1"/>
                <w:sz w:val="14"/>
                <w:szCs w:val="16"/>
              </w:rPr>
              <w:t>账面余额</w:t>
            </w:r>
          </w:p>
        </w:tc>
        <w:tc>
          <w:tcPr>
            <w:tcW w:w="791" w:type="pct"/>
            <w:shd w:val="clear" w:color="auto" w:fill="auto"/>
            <w:vAlign w:val="center"/>
            <w:hideMark/>
          </w:tcPr>
          <w:p w:rsidR="00A35D1A" w:rsidRPr="00EA612D" w:rsidRDefault="00A35D1A" w:rsidP="00A35D1A">
            <w:pPr>
              <w:adjustRightInd w:val="0"/>
              <w:snapToGrid w:val="0"/>
              <w:spacing w:line="200" w:lineRule="atLeast"/>
              <w:ind w:rightChars="-26" w:right="-55"/>
              <w:jc w:val="center"/>
              <w:rPr>
                <w:rFonts w:ascii="Times New Roman" w:eastAsia="宋体" w:hAnsi="Times New Roman" w:cs="Times New Roman"/>
                <w:color w:val="000000" w:themeColor="text1"/>
                <w:sz w:val="14"/>
                <w:szCs w:val="16"/>
              </w:rPr>
            </w:pPr>
            <w:r w:rsidRPr="00EA612D">
              <w:rPr>
                <w:rFonts w:ascii="Times New Roman" w:eastAsia="宋体" w:hAnsi="Times New Roman" w:cs="Times New Roman"/>
                <w:color w:val="000000" w:themeColor="text1"/>
                <w:sz w:val="14"/>
                <w:szCs w:val="16"/>
              </w:rPr>
              <w:t>坏账准备</w:t>
            </w:r>
          </w:p>
        </w:tc>
        <w:tc>
          <w:tcPr>
            <w:tcW w:w="774" w:type="pct"/>
            <w:shd w:val="clear" w:color="auto" w:fill="auto"/>
            <w:noWrap/>
            <w:vAlign w:val="center"/>
            <w:hideMark/>
          </w:tcPr>
          <w:p w:rsidR="00A35D1A" w:rsidRPr="00EA612D" w:rsidRDefault="00A35D1A" w:rsidP="00A35D1A">
            <w:pPr>
              <w:adjustRightInd w:val="0"/>
              <w:snapToGrid w:val="0"/>
              <w:spacing w:line="200" w:lineRule="atLeast"/>
              <w:ind w:rightChars="-26" w:right="-55"/>
              <w:jc w:val="center"/>
              <w:rPr>
                <w:rFonts w:ascii="Times New Roman" w:eastAsia="宋体" w:hAnsi="Times New Roman" w:cs="Times New Roman"/>
                <w:color w:val="000000" w:themeColor="text1"/>
                <w:sz w:val="14"/>
                <w:szCs w:val="16"/>
              </w:rPr>
            </w:pPr>
            <w:r w:rsidRPr="00EA612D">
              <w:rPr>
                <w:rFonts w:ascii="Times New Roman" w:eastAsia="宋体" w:hAnsi="Times New Roman" w:cs="Times New Roman"/>
                <w:color w:val="000000" w:themeColor="text1"/>
                <w:sz w:val="14"/>
                <w:szCs w:val="16"/>
              </w:rPr>
              <w:t>账面余额</w:t>
            </w:r>
          </w:p>
        </w:tc>
        <w:tc>
          <w:tcPr>
            <w:tcW w:w="775" w:type="pct"/>
            <w:shd w:val="clear" w:color="auto" w:fill="auto"/>
            <w:vAlign w:val="center"/>
            <w:hideMark/>
          </w:tcPr>
          <w:p w:rsidR="00A35D1A" w:rsidRPr="00EA612D" w:rsidRDefault="00A35D1A" w:rsidP="00A35D1A">
            <w:pPr>
              <w:adjustRightInd w:val="0"/>
              <w:snapToGrid w:val="0"/>
              <w:spacing w:line="200" w:lineRule="atLeast"/>
              <w:ind w:rightChars="-26" w:right="-55"/>
              <w:jc w:val="center"/>
              <w:rPr>
                <w:rFonts w:ascii="Times New Roman" w:eastAsia="宋体" w:hAnsi="Times New Roman" w:cs="Times New Roman"/>
                <w:color w:val="000000" w:themeColor="text1"/>
                <w:sz w:val="14"/>
                <w:szCs w:val="16"/>
              </w:rPr>
            </w:pPr>
            <w:r w:rsidRPr="00EA612D">
              <w:rPr>
                <w:rFonts w:ascii="Times New Roman" w:eastAsia="宋体" w:hAnsi="Times New Roman" w:cs="Times New Roman"/>
                <w:color w:val="000000" w:themeColor="text1"/>
                <w:sz w:val="14"/>
                <w:szCs w:val="16"/>
              </w:rPr>
              <w:t>坏账准备</w:t>
            </w:r>
          </w:p>
        </w:tc>
        <w:tc>
          <w:tcPr>
            <w:tcW w:w="778" w:type="pct"/>
            <w:vMerge/>
            <w:vAlign w:val="center"/>
          </w:tcPr>
          <w:p w:rsidR="00A35D1A" w:rsidRPr="00EA612D" w:rsidRDefault="00A35D1A" w:rsidP="00A35D1A">
            <w:pPr>
              <w:adjustRightInd w:val="0"/>
              <w:snapToGrid w:val="0"/>
              <w:spacing w:line="200" w:lineRule="atLeast"/>
              <w:ind w:rightChars="-26" w:right="-55"/>
              <w:jc w:val="center"/>
              <w:rPr>
                <w:rFonts w:ascii="Times New Roman" w:eastAsia="宋体" w:hAnsi="Times New Roman" w:cs="Times New Roman"/>
                <w:color w:val="000000" w:themeColor="text1"/>
                <w:sz w:val="14"/>
                <w:szCs w:val="16"/>
              </w:rPr>
            </w:pPr>
          </w:p>
        </w:tc>
      </w:tr>
      <w:tr w:rsidR="00835FFC" w:rsidRPr="00EA612D" w:rsidTr="00A35D1A">
        <w:trPr>
          <w:trHeight w:val="538"/>
        </w:trPr>
        <w:tc>
          <w:tcPr>
            <w:tcW w:w="1104" w:type="pct"/>
            <w:shd w:val="clear" w:color="auto" w:fill="auto"/>
            <w:vAlign w:val="center"/>
            <w:hideMark/>
          </w:tcPr>
          <w:p w:rsidR="00A35D1A" w:rsidRPr="00EA612D" w:rsidRDefault="00A35D1A" w:rsidP="00E3280C">
            <w:pPr>
              <w:adjustRightInd w:val="0"/>
              <w:snapToGrid w:val="0"/>
              <w:spacing w:line="200" w:lineRule="atLeast"/>
              <w:rPr>
                <w:rFonts w:ascii="Times New Roman" w:eastAsia="宋体" w:hAnsi="Times New Roman" w:cs="Times New Roman"/>
                <w:color w:val="000000" w:themeColor="text1"/>
                <w:sz w:val="14"/>
                <w:szCs w:val="16"/>
              </w:rPr>
            </w:pPr>
            <w:r w:rsidRPr="00EA612D">
              <w:rPr>
                <w:rFonts w:ascii="Times New Roman" w:eastAsia="宋体" w:hAnsi="Times New Roman" w:cs="Times New Roman"/>
                <w:color w:val="000000" w:themeColor="text1"/>
                <w:sz w:val="14"/>
                <w:szCs w:val="16"/>
              </w:rPr>
              <w:t>1</w:t>
            </w:r>
            <w:r w:rsidRPr="00EA612D">
              <w:rPr>
                <w:rFonts w:ascii="Times New Roman" w:eastAsia="宋体" w:hAnsi="Times New Roman" w:cs="Times New Roman"/>
                <w:color w:val="000000" w:themeColor="text1"/>
                <w:sz w:val="14"/>
                <w:szCs w:val="16"/>
              </w:rPr>
              <w:t>、单项金额重大并单独计提坏账准备的</w:t>
            </w:r>
            <w:r w:rsidR="00E3280C" w:rsidRPr="00EA612D">
              <w:rPr>
                <w:rFonts w:ascii="Times New Roman" w:eastAsia="宋体" w:hAnsi="Times New Roman" w:cs="Times New Roman" w:hint="eastAsia"/>
                <w:color w:val="000000" w:themeColor="text1"/>
                <w:sz w:val="14"/>
                <w:szCs w:val="16"/>
              </w:rPr>
              <w:t>其他</w:t>
            </w:r>
            <w:r w:rsidRPr="00EA612D">
              <w:rPr>
                <w:rFonts w:ascii="Times New Roman" w:eastAsia="宋体" w:hAnsi="Times New Roman" w:cs="Times New Roman"/>
                <w:color w:val="000000" w:themeColor="text1"/>
                <w:sz w:val="14"/>
                <w:szCs w:val="16"/>
              </w:rPr>
              <w:t>应收款</w:t>
            </w:r>
          </w:p>
        </w:tc>
        <w:tc>
          <w:tcPr>
            <w:tcW w:w="778" w:type="pct"/>
            <w:shd w:val="clear" w:color="auto" w:fill="auto"/>
            <w:noWrap/>
            <w:vAlign w:val="center"/>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4"/>
                <w:szCs w:val="16"/>
              </w:rPr>
            </w:pPr>
          </w:p>
        </w:tc>
        <w:tc>
          <w:tcPr>
            <w:tcW w:w="791" w:type="pct"/>
            <w:shd w:val="clear" w:color="auto" w:fill="auto"/>
            <w:noWrap/>
            <w:vAlign w:val="center"/>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4"/>
                <w:szCs w:val="16"/>
              </w:rPr>
            </w:pPr>
          </w:p>
        </w:tc>
        <w:tc>
          <w:tcPr>
            <w:tcW w:w="774" w:type="pct"/>
            <w:shd w:val="clear" w:color="auto" w:fill="auto"/>
            <w:noWrap/>
            <w:vAlign w:val="center"/>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4"/>
                <w:szCs w:val="16"/>
              </w:rPr>
            </w:pPr>
          </w:p>
        </w:tc>
        <w:tc>
          <w:tcPr>
            <w:tcW w:w="775" w:type="pct"/>
            <w:shd w:val="clear" w:color="auto" w:fill="auto"/>
            <w:noWrap/>
            <w:vAlign w:val="center"/>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4"/>
                <w:szCs w:val="16"/>
              </w:rPr>
            </w:pPr>
          </w:p>
        </w:tc>
        <w:tc>
          <w:tcPr>
            <w:tcW w:w="778" w:type="pct"/>
            <w:vAlign w:val="center"/>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4"/>
                <w:szCs w:val="16"/>
              </w:rPr>
            </w:pPr>
          </w:p>
        </w:tc>
      </w:tr>
      <w:tr w:rsidR="00835FFC" w:rsidRPr="00EA612D" w:rsidTr="00A35D1A">
        <w:trPr>
          <w:trHeight w:val="284"/>
        </w:trPr>
        <w:tc>
          <w:tcPr>
            <w:tcW w:w="1104" w:type="pct"/>
            <w:shd w:val="clear" w:color="auto" w:fill="auto"/>
            <w:vAlign w:val="center"/>
            <w:hideMark/>
          </w:tcPr>
          <w:p w:rsidR="00A35D1A" w:rsidRPr="00EA612D" w:rsidRDefault="00A35D1A" w:rsidP="00E3280C">
            <w:pPr>
              <w:adjustRightInd w:val="0"/>
              <w:snapToGrid w:val="0"/>
              <w:spacing w:line="200" w:lineRule="atLeast"/>
              <w:rPr>
                <w:rFonts w:ascii="Times New Roman" w:eastAsia="宋体" w:hAnsi="Times New Roman" w:cs="Times New Roman"/>
                <w:color w:val="000000" w:themeColor="text1"/>
                <w:sz w:val="14"/>
                <w:szCs w:val="16"/>
              </w:rPr>
            </w:pPr>
            <w:r w:rsidRPr="00EA612D">
              <w:rPr>
                <w:rFonts w:ascii="Times New Roman" w:eastAsia="宋体" w:hAnsi="Times New Roman" w:cs="Times New Roman"/>
                <w:color w:val="000000" w:themeColor="text1"/>
                <w:sz w:val="14"/>
                <w:szCs w:val="16"/>
              </w:rPr>
              <w:t>2</w:t>
            </w:r>
            <w:r w:rsidRPr="00EA612D">
              <w:rPr>
                <w:rFonts w:ascii="Times New Roman" w:eastAsia="宋体" w:hAnsi="Times New Roman" w:cs="Times New Roman"/>
                <w:color w:val="000000" w:themeColor="text1"/>
                <w:sz w:val="14"/>
                <w:szCs w:val="16"/>
              </w:rPr>
              <w:t>、按信用风险特征组合计提坏账准备的</w:t>
            </w:r>
            <w:r w:rsidR="00E3280C" w:rsidRPr="00EA612D">
              <w:rPr>
                <w:rFonts w:ascii="Times New Roman" w:eastAsia="宋体" w:hAnsi="Times New Roman" w:cs="Times New Roman" w:hint="eastAsia"/>
                <w:color w:val="000000" w:themeColor="text1"/>
                <w:sz w:val="14"/>
                <w:szCs w:val="16"/>
              </w:rPr>
              <w:t>其他</w:t>
            </w:r>
            <w:r w:rsidR="00E3280C" w:rsidRPr="00EA612D">
              <w:rPr>
                <w:rFonts w:ascii="Times New Roman" w:eastAsia="宋体" w:hAnsi="Times New Roman" w:cs="Times New Roman"/>
                <w:color w:val="000000" w:themeColor="text1"/>
                <w:sz w:val="14"/>
                <w:szCs w:val="16"/>
              </w:rPr>
              <w:t>应收款</w:t>
            </w:r>
          </w:p>
        </w:tc>
        <w:tc>
          <w:tcPr>
            <w:tcW w:w="778" w:type="pct"/>
            <w:shd w:val="clear" w:color="auto" w:fill="auto"/>
            <w:noWrap/>
            <w:vAlign w:val="center"/>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4"/>
                <w:szCs w:val="16"/>
              </w:rPr>
            </w:pPr>
            <w:r w:rsidRPr="00EA612D">
              <w:rPr>
                <w:rFonts w:ascii="Times New Roman" w:eastAsia="宋体" w:hAnsi="Times New Roman" w:cs="Times New Roman"/>
                <w:color w:val="000000" w:themeColor="text1"/>
                <w:sz w:val="14"/>
                <w:szCs w:val="16"/>
              </w:rPr>
              <w:t>17,719.22</w:t>
            </w:r>
          </w:p>
        </w:tc>
        <w:tc>
          <w:tcPr>
            <w:tcW w:w="791" w:type="pct"/>
            <w:shd w:val="clear" w:color="auto" w:fill="auto"/>
            <w:noWrap/>
            <w:vAlign w:val="center"/>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4"/>
                <w:szCs w:val="16"/>
              </w:rPr>
            </w:pPr>
            <w:r w:rsidRPr="00EA612D">
              <w:rPr>
                <w:rFonts w:ascii="Times New Roman" w:eastAsia="宋体" w:hAnsi="Times New Roman" w:cs="Times New Roman"/>
                <w:color w:val="000000" w:themeColor="text1"/>
                <w:sz w:val="14"/>
                <w:szCs w:val="16"/>
              </w:rPr>
              <w:t>4,206.07</w:t>
            </w:r>
          </w:p>
        </w:tc>
        <w:tc>
          <w:tcPr>
            <w:tcW w:w="774" w:type="pct"/>
            <w:shd w:val="clear" w:color="auto" w:fill="auto"/>
            <w:noWrap/>
            <w:vAlign w:val="center"/>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4"/>
                <w:szCs w:val="16"/>
              </w:rPr>
            </w:pPr>
            <w:r w:rsidRPr="00EA612D">
              <w:rPr>
                <w:rFonts w:ascii="Times New Roman" w:eastAsia="宋体" w:hAnsi="Times New Roman" w:cs="Times New Roman"/>
                <w:color w:val="000000" w:themeColor="text1"/>
                <w:sz w:val="14"/>
                <w:szCs w:val="16"/>
              </w:rPr>
              <w:t>28,108.48</w:t>
            </w:r>
          </w:p>
        </w:tc>
        <w:tc>
          <w:tcPr>
            <w:tcW w:w="775" w:type="pct"/>
            <w:shd w:val="clear" w:color="auto" w:fill="auto"/>
            <w:noWrap/>
            <w:vAlign w:val="center"/>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4"/>
                <w:szCs w:val="16"/>
              </w:rPr>
            </w:pPr>
            <w:r w:rsidRPr="00EA612D">
              <w:rPr>
                <w:rFonts w:ascii="Times New Roman" w:eastAsia="宋体" w:hAnsi="Times New Roman" w:cs="Times New Roman"/>
                <w:color w:val="000000" w:themeColor="text1"/>
                <w:sz w:val="14"/>
                <w:szCs w:val="16"/>
              </w:rPr>
              <w:t>3,465.75</w:t>
            </w:r>
          </w:p>
        </w:tc>
        <w:tc>
          <w:tcPr>
            <w:tcW w:w="778" w:type="pct"/>
            <w:vAlign w:val="center"/>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4"/>
                <w:szCs w:val="16"/>
              </w:rPr>
            </w:pPr>
            <w:r w:rsidRPr="00EA612D">
              <w:rPr>
                <w:rFonts w:ascii="Times New Roman" w:eastAsia="宋体" w:hAnsi="Times New Roman" w:cs="Times New Roman"/>
                <w:color w:val="000000" w:themeColor="text1"/>
                <w:sz w:val="14"/>
                <w:szCs w:val="16"/>
              </w:rPr>
              <w:t>740.32</w:t>
            </w:r>
          </w:p>
        </w:tc>
      </w:tr>
      <w:tr w:rsidR="00835FFC" w:rsidRPr="00EA612D" w:rsidTr="00A35D1A">
        <w:trPr>
          <w:trHeight w:val="284"/>
        </w:trPr>
        <w:tc>
          <w:tcPr>
            <w:tcW w:w="1104" w:type="pct"/>
            <w:shd w:val="clear" w:color="auto" w:fill="auto"/>
            <w:vAlign w:val="center"/>
            <w:hideMark/>
          </w:tcPr>
          <w:p w:rsidR="00A35D1A" w:rsidRPr="00EA612D" w:rsidRDefault="00A35D1A" w:rsidP="00A35D1A">
            <w:pPr>
              <w:adjustRightInd w:val="0"/>
              <w:snapToGrid w:val="0"/>
              <w:spacing w:line="200" w:lineRule="atLeast"/>
              <w:rPr>
                <w:rFonts w:ascii="Times New Roman" w:eastAsia="宋体" w:hAnsi="Times New Roman" w:cs="Times New Roman"/>
                <w:color w:val="000000" w:themeColor="text1"/>
                <w:sz w:val="14"/>
                <w:szCs w:val="16"/>
              </w:rPr>
            </w:pPr>
            <w:r w:rsidRPr="00EA612D">
              <w:rPr>
                <w:rFonts w:ascii="Times New Roman" w:eastAsia="宋体" w:hAnsi="Times New Roman" w:cs="Times New Roman"/>
                <w:color w:val="000000" w:themeColor="text1"/>
                <w:sz w:val="14"/>
                <w:szCs w:val="16"/>
              </w:rPr>
              <w:t>3</w:t>
            </w:r>
            <w:r w:rsidRPr="00EA612D">
              <w:rPr>
                <w:rFonts w:ascii="Times New Roman" w:eastAsia="宋体" w:hAnsi="Times New Roman" w:cs="Times New Roman"/>
                <w:color w:val="000000" w:themeColor="text1"/>
                <w:sz w:val="14"/>
                <w:szCs w:val="16"/>
              </w:rPr>
              <w:t>、单项金额</w:t>
            </w:r>
            <w:proofErr w:type="gramStart"/>
            <w:r w:rsidRPr="00EA612D">
              <w:rPr>
                <w:rFonts w:ascii="Times New Roman" w:eastAsia="宋体" w:hAnsi="Times New Roman" w:cs="Times New Roman"/>
                <w:color w:val="000000" w:themeColor="text1"/>
                <w:sz w:val="14"/>
                <w:szCs w:val="16"/>
              </w:rPr>
              <w:t>不重大</w:t>
            </w:r>
            <w:proofErr w:type="gramEnd"/>
            <w:r w:rsidRPr="00EA612D">
              <w:rPr>
                <w:rFonts w:ascii="Times New Roman" w:eastAsia="宋体" w:hAnsi="Times New Roman" w:cs="Times New Roman"/>
                <w:color w:val="000000" w:themeColor="text1"/>
                <w:sz w:val="14"/>
                <w:szCs w:val="16"/>
              </w:rPr>
              <w:t>但单独计提坏账准备的</w:t>
            </w:r>
            <w:r w:rsidR="00E3280C" w:rsidRPr="00EA612D">
              <w:rPr>
                <w:rFonts w:ascii="Times New Roman" w:eastAsia="宋体" w:hAnsi="Times New Roman" w:cs="Times New Roman" w:hint="eastAsia"/>
                <w:color w:val="000000" w:themeColor="text1"/>
                <w:sz w:val="14"/>
                <w:szCs w:val="16"/>
              </w:rPr>
              <w:t>其他</w:t>
            </w:r>
            <w:r w:rsidR="00E3280C" w:rsidRPr="00EA612D">
              <w:rPr>
                <w:rFonts w:ascii="Times New Roman" w:eastAsia="宋体" w:hAnsi="Times New Roman" w:cs="Times New Roman"/>
                <w:color w:val="000000" w:themeColor="text1"/>
                <w:sz w:val="14"/>
                <w:szCs w:val="16"/>
              </w:rPr>
              <w:t>应收款</w:t>
            </w:r>
          </w:p>
        </w:tc>
        <w:tc>
          <w:tcPr>
            <w:tcW w:w="778" w:type="pct"/>
            <w:shd w:val="clear" w:color="auto" w:fill="auto"/>
            <w:noWrap/>
            <w:vAlign w:val="center"/>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4"/>
                <w:szCs w:val="16"/>
              </w:rPr>
            </w:pPr>
            <w:r w:rsidRPr="00EA612D">
              <w:rPr>
                <w:rFonts w:ascii="Times New Roman" w:eastAsia="宋体" w:hAnsi="Times New Roman" w:cs="Times New Roman"/>
                <w:color w:val="000000" w:themeColor="text1"/>
                <w:sz w:val="14"/>
                <w:szCs w:val="16"/>
              </w:rPr>
              <w:t>8,195.66</w:t>
            </w:r>
          </w:p>
        </w:tc>
        <w:tc>
          <w:tcPr>
            <w:tcW w:w="791" w:type="pct"/>
            <w:shd w:val="clear" w:color="auto" w:fill="auto"/>
            <w:noWrap/>
            <w:vAlign w:val="center"/>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4"/>
                <w:szCs w:val="16"/>
              </w:rPr>
            </w:pPr>
            <w:r w:rsidRPr="00EA612D">
              <w:rPr>
                <w:rFonts w:ascii="Times New Roman" w:eastAsia="宋体" w:hAnsi="Times New Roman" w:cs="Times New Roman"/>
                <w:color w:val="000000" w:themeColor="text1"/>
                <w:sz w:val="14"/>
                <w:szCs w:val="16"/>
              </w:rPr>
              <w:t>8,195.66</w:t>
            </w:r>
          </w:p>
        </w:tc>
        <w:tc>
          <w:tcPr>
            <w:tcW w:w="774" w:type="pct"/>
            <w:shd w:val="clear" w:color="auto" w:fill="auto"/>
            <w:noWrap/>
            <w:vAlign w:val="center"/>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4"/>
                <w:szCs w:val="16"/>
              </w:rPr>
            </w:pPr>
            <w:r w:rsidRPr="00EA612D">
              <w:rPr>
                <w:rFonts w:ascii="Times New Roman" w:eastAsia="宋体" w:hAnsi="Times New Roman" w:cs="Times New Roman"/>
                <w:color w:val="000000" w:themeColor="text1"/>
                <w:sz w:val="14"/>
                <w:szCs w:val="16"/>
              </w:rPr>
              <w:t>6,252.89</w:t>
            </w:r>
          </w:p>
        </w:tc>
        <w:tc>
          <w:tcPr>
            <w:tcW w:w="775" w:type="pct"/>
            <w:shd w:val="clear" w:color="auto" w:fill="auto"/>
            <w:noWrap/>
            <w:vAlign w:val="center"/>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4"/>
                <w:szCs w:val="16"/>
              </w:rPr>
            </w:pPr>
            <w:r w:rsidRPr="00EA612D">
              <w:rPr>
                <w:rFonts w:ascii="Times New Roman" w:eastAsia="宋体" w:hAnsi="Times New Roman" w:cs="Times New Roman"/>
                <w:color w:val="000000" w:themeColor="text1"/>
                <w:sz w:val="14"/>
                <w:szCs w:val="16"/>
              </w:rPr>
              <w:t>6,252.89</w:t>
            </w:r>
          </w:p>
        </w:tc>
        <w:tc>
          <w:tcPr>
            <w:tcW w:w="778" w:type="pct"/>
            <w:vAlign w:val="center"/>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4"/>
                <w:szCs w:val="16"/>
              </w:rPr>
            </w:pPr>
            <w:r w:rsidRPr="00EA612D">
              <w:rPr>
                <w:rFonts w:ascii="Times New Roman" w:eastAsia="宋体" w:hAnsi="Times New Roman" w:cs="Times New Roman"/>
                <w:color w:val="000000" w:themeColor="text1"/>
                <w:sz w:val="14"/>
                <w:szCs w:val="16"/>
              </w:rPr>
              <w:t>1,942.77</w:t>
            </w:r>
          </w:p>
        </w:tc>
      </w:tr>
      <w:tr w:rsidR="00835FFC" w:rsidRPr="00EA612D" w:rsidTr="00A35D1A">
        <w:trPr>
          <w:trHeight w:val="284"/>
        </w:trPr>
        <w:tc>
          <w:tcPr>
            <w:tcW w:w="1104" w:type="pct"/>
            <w:shd w:val="clear" w:color="auto" w:fill="auto"/>
            <w:vAlign w:val="center"/>
            <w:hideMark/>
          </w:tcPr>
          <w:p w:rsidR="00A35D1A" w:rsidRPr="00EA612D" w:rsidRDefault="00A35D1A" w:rsidP="00A35D1A">
            <w:pPr>
              <w:adjustRightInd w:val="0"/>
              <w:snapToGrid w:val="0"/>
              <w:spacing w:line="200" w:lineRule="atLeast"/>
              <w:jc w:val="center"/>
              <w:rPr>
                <w:rFonts w:ascii="Times New Roman" w:eastAsia="宋体" w:hAnsi="Times New Roman" w:cs="Times New Roman"/>
                <w:color w:val="000000" w:themeColor="text1"/>
                <w:sz w:val="14"/>
                <w:szCs w:val="16"/>
              </w:rPr>
            </w:pPr>
            <w:r w:rsidRPr="00EA612D">
              <w:rPr>
                <w:rFonts w:ascii="Times New Roman" w:eastAsia="宋体" w:hAnsi="Times New Roman" w:cs="Times New Roman"/>
                <w:color w:val="000000" w:themeColor="text1"/>
                <w:sz w:val="14"/>
                <w:szCs w:val="16"/>
              </w:rPr>
              <w:t>合计</w:t>
            </w:r>
          </w:p>
        </w:tc>
        <w:tc>
          <w:tcPr>
            <w:tcW w:w="778" w:type="pct"/>
            <w:shd w:val="clear" w:color="auto" w:fill="auto"/>
            <w:noWrap/>
            <w:vAlign w:val="center"/>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4"/>
                <w:szCs w:val="16"/>
              </w:rPr>
            </w:pPr>
            <w:r w:rsidRPr="00EA612D">
              <w:rPr>
                <w:rFonts w:ascii="Times New Roman" w:eastAsia="宋体" w:hAnsi="Times New Roman" w:cs="Times New Roman"/>
                <w:color w:val="000000" w:themeColor="text1"/>
                <w:sz w:val="14"/>
                <w:szCs w:val="16"/>
              </w:rPr>
              <w:t xml:space="preserve">  25,914.88 </w:t>
            </w:r>
          </w:p>
        </w:tc>
        <w:tc>
          <w:tcPr>
            <w:tcW w:w="791" w:type="pct"/>
            <w:shd w:val="clear" w:color="auto" w:fill="auto"/>
            <w:noWrap/>
            <w:vAlign w:val="center"/>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4"/>
                <w:szCs w:val="16"/>
              </w:rPr>
            </w:pPr>
            <w:r w:rsidRPr="00EA612D">
              <w:rPr>
                <w:rFonts w:ascii="Times New Roman" w:eastAsia="宋体" w:hAnsi="Times New Roman" w:cs="Times New Roman"/>
                <w:color w:val="000000" w:themeColor="text1"/>
                <w:sz w:val="14"/>
                <w:szCs w:val="16"/>
              </w:rPr>
              <w:t xml:space="preserve">  12,401.73 </w:t>
            </w:r>
          </w:p>
        </w:tc>
        <w:tc>
          <w:tcPr>
            <w:tcW w:w="774" w:type="pct"/>
            <w:shd w:val="clear" w:color="auto" w:fill="auto"/>
            <w:noWrap/>
            <w:vAlign w:val="center"/>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4"/>
                <w:szCs w:val="16"/>
              </w:rPr>
            </w:pPr>
            <w:r w:rsidRPr="00EA612D">
              <w:rPr>
                <w:rFonts w:ascii="Times New Roman" w:eastAsia="宋体" w:hAnsi="Times New Roman" w:cs="Times New Roman"/>
                <w:color w:val="000000" w:themeColor="text1"/>
                <w:sz w:val="14"/>
                <w:szCs w:val="16"/>
              </w:rPr>
              <w:t xml:space="preserve">    34,361.37 </w:t>
            </w:r>
          </w:p>
        </w:tc>
        <w:tc>
          <w:tcPr>
            <w:tcW w:w="775" w:type="pct"/>
            <w:shd w:val="clear" w:color="auto" w:fill="auto"/>
            <w:noWrap/>
            <w:vAlign w:val="center"/>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4"/>
                <w:szCs w:val="16"/>
              </w:rPr>
            </w:pPr>
            <w:r w:rsidRPr="00EA612D">
              <w:rPr>
                <w:rFonts w:ascii="Times New Roman" w:eastAsia="宋体" w:hAnsi="Times New Roman" w:cs="Times New Roman"/>
                <w:color w:val="000000" w:themeColor="text1"/>
                <w:sz w:val="14"/>
                <w:szCs w:val="16"/>
              </w:rPr>
              <w:t xml:space="preserve">  9,718.64 </w:t>
            </w:r>
          </w:p>
        </w:tc>
        <w:tc>
          <w:tcPr>
            <w:tcW w:w="778" w:type="pct"/>
            <w:vAlign w:val="center"/>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4"/>
                <w:szCs w:val="16"/>
              </w:rPr>
            </w:pPr>
            <w:r w:rsidRPr="00EA612D">
              <w:rPr>
                <w:rFonts w:ascii="Times New Roman" w:eastAsia="宋体" w:hAnsi="Times New Roman" w:cs="Times New Roman"/>
                <w:color w:val="000000" w:themeColor="text1"/>
                <w:sz w:val="14"/>
                <w:szCs w:val="16"/>
              </w:rPr>
              <w:t>2,683.09</w:t>
            </w:r>
          </w:p>
        </w:tc>
      </w:tr>
    </w:tbl>
    <w:p w:rsidR="002765B3" w:rsidRPr="00EA612D" w:rsidRDefault="002765B3" w:rsidP="00F663C7">
      <w:pPr>
        <w:ind w:firstLineChars="200" w:firstLine="480"/>
        <w:rPr>
          <w:rStyle w:val="a5"/>
          <w:rFonts w:asciiTheme="minorEastAsia" w:hAnsiTheme="minorEastAsia" w:cs="宋体"/>
          <w:b w:val="0"/>
          <w:color w:val="000000" w:themeColor="text1"/>
          <w:sz w:val="24"/>
          <w:szCs w:val="24"/>
        </w:rPr>
      </w:pPr>
    </w:p>
    <w:p w:rsidR="00A35D1A" w:rsidRPr="00EA612D" w:rsidRDefault="00572951" w:rsidP="00F663C7">
      <w:pPr>
        <w:ind w:firstLineChars="200" w:firstLine="480"/>
        <w:rPr>
          <w:rStyle w:val="a5"/>
          <w:rFonts w:asciiTheme="minorEastAsia" w:hAnsiTheme="minorEastAsia" w:cs="Times New Roman"/>
          <w:b w:val="0"/>
          <w:color w:val="000000" w:themeColor="text1"/>
          <w:sz w:val="24"/>
          <w:szCs w:val="24"/>
        </w:rPr>
      </w:pPr>
      <w:r w:rsidRPr="00EA612D">
        <w:rPr>
          <w:rStyle w:val="a5"/>
          <w:rFonts w:asciiTheme="minorEastAsia" w:hAnsiTheme="minorEastAsia" w:cs="宋体" w:hint="eastAsia"/>
          <w:b w:val="0"/>
          <w:color w:val="000000" w:themeColor="text1"/>
          <w:sz w:val="24"/>
          <w:szCs w:val="24"/>
        </w:rPr>
        <w:t>②</w:t>
      </w:r>
      <w:r w:rsidR="00A35D1A" w:rsidRPr="00EA612D">
        <w:rPr>
          <w:rStyle w:val="a5"/>
          <w:rFonts w:asciiTheme="minorEastAsia" w:hAnsiTheme="minorEastAsia" w:cs="Times New Roman"/>
          <w:b w:val="0"/>
          <w:color w:val="000000" w:themeColor="text1"/>
          <w:sz w:val="24"/>
          <w:szCs w:val="24"/>
        </w:rPr>
        <w:t>2016年末公司其他</w:t>
      </w:r>
      <w:proofErr w:type="gramStart"/>
      <w:r w:rsidR="00A35D1A" w:rsidRPr="00EA612D">
        <w:rPr>
          <w:rStyle w:val="a5"/>
          <w:rFonts w:asciiTheme="minorEastAsia" w:hAnsiTheme="minorEastAsia" w:cs="Times New Roman"/>
          <w:b w:val="0"/>
          <w:color w:val="000000" w:themeColor="text1"/>
          <w:sz w:val="24"/>
          <w:szCs w:val="24"/>
        </w:rPr>
        <w:t>应收款账龄</w:t>
      </w:r>
      <w:proofErr w:type="gramEnd"/>
      <w:r w:rsidR="00A35D1A" w:rsidRPr="00EA612D">
        <w:rPr>
          <w:rStyle w:val="a5"/>
          <w:rFonts w:asciiTheme="minorEastAsia" w:hAnsiTheme="minorEastAsia" w:cs="Times New Roman"/>
          <w:b w:val="0"/>
          <w:color w:val="000000" w:themeColor="text1"/>
          <w:sz w:val="24"/>
          <w:szCs w:val="24"/>
        </w:rPr>
        <w:t>与年初对比情况如下：</w:t>
      </w:r>
    </w:p>
    <w:p w:rsidR="00A35D1A" w:rsidRPr="00EA612D" w:rsidRDefault="00A35D1A" w:rsidP="00A35D1A">
      <w:pPr>
        <w:jc w:val="right"/>
        <w:rPr>
          <w:rStyle w:val="a5"/>
          <w:rFonts w:ascii="Times New Roman" w:hAnsi="Times New Roman" w:cs="Times New Roman"/>
          <w:b w:val="0"/>
          <w:color w:val="000000" w:themeColor="text1"/>
          <w:szCs w:val="21"/>
        </w:rPr>
      </w:pPr>
      <w:r w:rsidRPr="00EA612D">
        <w:rPr>
          <w:rStyle w:val="a5"/>
          <w:rFonts w:ascii="Times New Roman" w:hAnsi="Times New Roman" w:cs="Times New Roman"/>
          <w:b w:val="0"/>
          <w:color w:val="000000" w:themeColor="text1"/>
          <w:szCs w:val="21"/>
        </w:rPr>
        <w:t>单位：人民币万元</w:t>
      </w:r>
    </w:p>
    <w:tbl>
      <w:tblPr>
        <w:tblW w:w="5000" w:type="pct"/>
        <w:tblBorders>
          <w:top w:val="single" w:sz="12" w:space="0" w:color="auto"/>
          <w:bottom w:val="single" w:sz="12" w:space="0" w:color="auto"/>
          <w:insideH w:val="dotted" w:sz="4" w:space="0" w:color="auto"/>
          <w:insideV w:val="dotted" w:sz="4" w:space="0" w:color="auto"/>
        </w:tblBorders>
        <w:tblCellMar>
          <w:top w:w="28" w:type="dxa"/>
          <w:bottom w:w="28" w:type="dxa"/>
        </w:tblCellMar>
        <w:tblLook w:val="04A0" w:firstRow="1" w:lastRow="0" w:firstColumn="1" w:lastColumn="0" w:noHBand="0" w:noVBand="1"/>
      </w:tblPr>
      <w:tblGrid>
        <w:gridCol w:w="3557"/>
        <w:gridCol w:w="2246"/>
        <w:gridCol w:w="2719"/>
      </w:tblGrid>
      <w:tr w:rsidR="00835FFC" w:rsidRPr="00EA612D" w:rsidTr="00A35D1A">
        <w:trPr>
          <w:trHeight w:val="423"/>
          <w:tblHeader/>
        </w:trPr>
        <w:tc>
          <w:tcPr>
            <w:tcW w:w="2087" w:type="pct"/>
            <w:shd w:val="clear" w:color="auto" w:fill="auto"/>
            <w:vAlign w:val="center"/>
            <w:hideMark/>
          </w:tcPr>
          <w:p w:rsidR="00A35D1A" w:rsidRPr="00EA612D" w:rsidRDefault="00A35D1A" w:rsidP="00A35D1A">
            <w:pPr>
              <w:adjustRightInd w:val="0"/>
              <w:snapToGrid w:val="0"/>
              <w:spacing w:line="200" w:lineRule="atLeast"/>
              <w:jc w:val="center"/>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账龄</w:t>
            </w:r>
          </w:p>
        </w:tc>
        <w:tc>
          <w:tcPr>
            <w:tcW w:w="1318" w:type="pct"/>
            <w:shd w:val="clear" w:color="auto" w:fill="auto"/>
            <w:noWrap/>
            <w:vAlign w:val="center"/>
            <w:hideMark/>
          </w:tcPr>
          <w:p w:rsidR="00A35D1A" w:rsidRPr="00EA612D" w:rsidRDefault="00A35D1A" w:rsidP="00A35D1A">
            <w:pPr>
              <w:adjustRightInd w:val="0"/>
              <w:snapToGrid w:val="0"/>
              <w:spacing w:line="200" w:lineRule="atLeast"/>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期末余额</w:t>
            </w:r>
          </w:p>
        </w:tc>
        <w:tc>
          <w:tcPr>
            <w:tcW w:w="1595" w:type="pct"/>
            <w:shd w:val="clear" w:color="auto" w:fill="auto"/>
            <w:vAlign w:val="center"/>
          </w:tcPr>
          <w:p w:rsidR="00A35D1A" w:rsidRPr="00EA612D" w:rsidRDefault="00A35D1A" w:rsidP="00A35D1A">
            <w:pPr>
              <w:adjustRightInd w:val="0"/>
              <w:snapToGrid w:val="0"/>
              <w:spacing w:line="200" w:lineRule="atLeast"/>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年初余额</w:t>
            </w:r>
          </w:p>
        </w:tc>
      </w:tr>
      <w:tr w:rsidR="00835FFC" w:rsidRPr="00EA612D" w:rsidTr="00A35D1A">
        <w:trPr>
          <w:trHeight w:val="269"/>
        </w:trPr>
        <w:tc>
          <w:tcPr>
            <w:tcW w:w="2087" w:type="pct"/>
            <w:shd w:val="clear" w:color="auto" w:fill="auto"/>
            <w:vAlign w:val="center"/>
            <w:hideMark/>
          </w:tcPr>
          <w:p w:rsidR="00A35D1A" w:rsidRPr="00EA612D" w:rsidRDefault="00A35D1A" w:rsidP="00A35D1A">
            <w:pPr>
              <w:adjustRightInd w:val="0"/>
              <w:snapToGrid w:val="0"/>
              <w:spacing w:line="200" w:lineRule="atLeas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1</w:t>
            </w:r>
            <w:r w:rsidRPr="00EA612D">
              <w:rPr>
                <w:rFonts w:ascii="Times New Roman" w:eastAsia="宋体" w:hAnsi="Times New Roman" w:cs="Times New Roman"/>
                <w:color w:val="000000" w:themeColor="text1"/>
                <w:sz w:val="16"/>
                <w:szCs w:val="16"/>
              </w:rPr>
              <w:t>年以内（含</w:t>
            </w:r>
            <w:r w:rsidRPr="00EA612D">
              <w:rPr>
                <w:rFonts w:ascii="Times New Roman" w:eastAsia="宋体" w:hAnsi="Times New Roman" w:cs="Times New Roman"/>
                <w:color w:val="000000" w:themeColor="text1"/>
                <w:sz w:val="16"/>
                <w:szCs w:val="16"/>
              </w:rPr>
              <w:t>1</w:t>
            </w:r>
            <w:r w:rsidRPr="00EA612D">
              <w:rPr>
                <w:rFonts w:ascii="Times New Roman" w:eastAsia="宋体" w:hAnsi="Times New Roman" w:cs="Times New Roman"/>
                <w:color w:val="000000" w:themeColor="text1"/>
                <w:sz w:val="16"/>
                <w:szCs w:val="16"/>
              </w:rPr>
              <w:t>年）</w:t>
            </w:r>
          </w:p>
        </w:tc>
        <w:tc>
          <w:tcPr>
            <w:tcW w:w="1318" w:type="pct"/>
            <w:shd w:val="clear" w:color="auto" w:fill="auto"/>
            <w:noWrap/>
            <w:vAlign w:val="center"/>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7,467.35</w:t>
            </w:r>
          </w:p>
        </w:tc>
        <w:tc>
          <w:tcPr>
            <w:tcW w:w="1595" w:type="pct"/>
            <w:shd w:val="clear" w:color="auto" w:fill="auto"/>
            <w:noWrap/>
            <w:vAlign w:val="center"/>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13,669.63</w:t>
            </w:r>
          </w:p>
        </w:tc>
      </w:tr>
      <w:tr w:rsidR="00835FFC" w:rsidRPr="00EA612D" w:rsidTr="00A35D1A">
        <w:trPr>
          <w:trHeight w:val="284"/>
        </w:trPr>
        <w:tc>
          <w:tcPr>
            <w:tcW w:w="2087" w:type="pct"/>
            <w:shd w:val="clear" w:color="auto" w:fill="auto"/>
            <w:vAlign w:val="center"/>
            <w:hideMark/>
          </w:tcPr>
          <w:p w:rsidR="00A35D1A" w:rsidRPr="00EA612D" w:rsidRDefault="00A35D1A" w:rsidP="00A35D1A">
            <w:pPr>
              <w:adjustRightInd w:val="0"/>
              <w:snapToGrid w:val="0"/>
              <w:spacing w:line="200" w:lineRule="atLeas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1</w:t>
            </w:r>
            <w:r w:rsidRPr="00EA612D">
              <w:rPr>
                <w:rFonts w:ascii="Times New Roman" w:eastAsia="宋体" w:hAnsi="Times New Roman" w:cs="Times New Roman"/>
                <w:color w:val="000000" w:themeColor="text1"/>
                <w:sz w:val="16"/>
                <w:szCs w:val="16"/>
              </w:rPr>
              <w:t>－</w:t>
            </w:r>
            <w:r w:rsidRPr="00EA612D">
              <w:rPr>
                <w:rFonts w:ascii="Times New Roman" w:eastAsia="宋体" w:hAnsi="Times New Roman" w:cs="Times New Roman"/>
                <w:color w:val="000000" w:themeColor="text1"/>
                <w:sz w:val="16"/>
                <w:szCs w:val="16"/>
              </w:rPr>
              <w:t>2</w:t>
            </w:r>
            <w:r w:rsidRPr="00EA612D">
              <w:rPr>
                <w:rFonts w:ascii="Times New Roman" w:eastAsia="宋体" w:hAnsi="Times New Roman" w:cs="Times New Roman"/>
                <w:color w:val="000000" w:themeColor="text1"/>
                <w:sz w:val="16"/>
                <w:szCs w:val="16"/>
              </w:rPr>
              <w:t>年（含</w:t>
            </w:r>
            <w:r w:rsidRPr="00EA612D">
              <w:rPr>
                <w:rFonts w:ascii="Times New Roman" w:eastAsia="宋体" w:hAnsi="Times New Roman" w:cs="Times New Roman"/>
                <w:color w:val="000000" w:themeColor="text1"/>
                <w:sz w:val="16"/>
                <w:szCs w:val="16"/>
              </w:rPr>
              <w:t>2</w:t>
            </w:r>
            <w:r w:rsidRPr="00EA612D">
              <w:rPr>
                <w:rFonts w:ascii="Times New Roman" w:eastAsia="宋体" w:hAnsi="Times New Roman" w:cs="Times New Roman"/>
                <w:color w:val="000000" w:themeColor="text1"/>
                <w:sz w:val="16"/>
                <w:szCs w:val="16"/>
              </w:rPr>
              <w:t>年）</w:t>
            </w:r>
          </w:p>
        </w:tc>
        <w:tc>
          <w:tcPr>
            <w:tcW w:w="1318" w:type="pct"/>
            <w:shd w:val="clear" w:color="auto" w:fill="auto"/>
            <w:noWrap/>
            <w:vAlign w:val="center"/>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2,345.96</w:t>
            </w:r>
          </w:p>
        </w:tc>
        <w:tc>
          <w:tcPr>
            <w:tcW w:w="1595" w:type="pct"/>
            <w:shd w:val="clear" w:color="auto" w:fill="auto"/>
            <w:noWrap/>
            <w:vAlign w:val="center"/>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4,036.87</w:t>
            </w:r>
          </w:p>
        </w:tc>
      </w:tr>
      <w:tr w:rsidR="00835FFC" w:rsidRPr="00EA612D" w:rsidTr="00A35D1A">
        <w:trPr>
          <w:trHeight w:val="284"/>
        </w:trPr>
        <w:tc>
          <w:tcPr>
            <w:tcW w:w="2087" w:type="pct"/>
            <w:shd w:val="clear" w:color="auto" w:fill="auto"/>
            <w:vAlign w:val="center"/>
          </w:tcPr>
          <w:p w:rsidR="00A35D1A" w:rsidRPr="00EA612D" w:rsidRDefault="00A35D1A" w:rsidP="00A35D1A">
            <w:pPr>
              <w:adjustRightInd w:val="0"/>
              <w:snapToGrid w:val="0"/>
              <w:spacing w:line="200" w:lineRule="atLeas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2</w:t>
            </w:r>
            <w:r w:rsidRPr="00EA612D">
              <w:rPr>
                <w:rFonts w:ascii="Times New Roman" w:eastAsia="宋体" w:hAnsi="Times New Roman" w:cs="Times New Roman"/>
                <w:color w:val="000000" w:themeColor="text1"/>
                <w:sz w:val="16"/>
                <w:szCs w:val="16"/>
              </w:rPr>
              <w:t>－</w:t>
            </w:r>
            <w:r w:rsidRPr="00EA612D">
              <w:rPr>
                <w:rFonts w:ascii="Times New Roman" w:eastAsia="宋体" w:hAnsi="Times New Roman" w:cs="Times New Roman"/>
                <w:color w:val="000000" w:themeColor="text1"/>
                <w:sz w:val="16"/>
                <w:szCs w:val="16"/>
              </w:rPr>
              <w:t>3</w:t>
            </w:r>
            <w:r w:rsidRPr="00EA612D">
              <w:rPr>
                <w:rFonts w:ascii="Times New Roman" w:eastAsia="宋体" w:hAnsi="Times New Roman" w:cs="Times New Roman"/>
                <w:color w:val="000000" w:themeColor="text1"/>
                <w:sz w:val="16"/>
                <w:szCs w:val="16"/>
              </w:rPr>
              <w:t>年（含</w:t>
            </w:r>
            <w:r w:rsidRPr="00EA612D">
              <w:rPr>
                <w:rFonts w:ascii="Times New Roman" w:eastAsia="宋体" w:hAnsi="Times New Roman" w:cs="Times New Roman"/>
                <w:color w:val="000000" w:themeColor="text1"/>
                <w:sz w:val="16"/>
                <w:szCs w:val="16"/>
              </w:rPr>
              <w:t>3</w:t>
            </w:r>
            <w:r w:rsidRPr="00EA612D">
              <w:rPr>
                <w:rFonts w:ascii="Times New Roman" w:eastAsia="宋体" w:hAnsi="Times New Roman" w:cs="Times New Roman"/>
                <w:color w:val="000000" w:themeColor="text1"/>
                <w:sz w:val="16"/>
                <w:szCs w:val="16"/>
              </w:rPr>
              <w:t>年）</w:t>
            </w:r>
          </w:p>
        </w:tc>
        <w:tc>
          <w:tcPr>
            <w:tcW w:w="1318" w:type="pct"/>
            <w:shd w:val="clear" w:color="auto" w:fill="auto"/>
            <w:noWrap/>
            <w:vAlign w:val="center"/>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1,063.02</w:t>
            </w:r>
          </w:p>
        </w:tc>
        <w:tc>
          <w:tcPr>
            <w:tcW w:w="1595" w:type="pct"/>
            <w:shd w:val="clear" w:color="auto" w:fill="auto"/>
            <w:noWrap/>
            <w:vAlign w:val="center"/>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6,463.79</w:t>
            </w:r>
          </w:p>
        </w:tc>
      </w:tr>
      <w:tr w:rsidR="00835FFC" w:rsidRPr="00EA612D" w:rsidTr="00A35D1A">
        <w:trPr>
          <w:trHeight w:val="284"/>
        </w:trPr>
        <w:tc>
          <w:tcPr>
            <w:tcW w:w="2087" w:type="pct"/>
            <w:shd w:val="clear" w:color="auto" w:fill="auto"/>
            <w:vAlign w:val="center"/>
            <w:hideMark/>
          </w:tcPr>
          <w:p w:rsidR="00A35D1A" w:rsidRPr="00EA612D" w:rsidRDefault="00A35D1A" w:rsidP="00A35D1A">
            <w:pPr>
              <w:adjustRightInd w:val="0"/>
              <w:snapToGrid w:val="0"/>
              <w:spacing w:line="200" w:lineRule="atLeas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3</w:t>
            </w:r>
            <w:r w:rsidRPr="00EA612D">
              <w:rPr>
                <w:rFonts w:ascii="Times New Roman" w:eastAsia="宋体" w:hAnsi="Times New Roman" w:cs="Times New Roman"/>
                <w:color w:val="000000" w:themeColor="text1"/>
                <w:sz w:val="16"/>
                <w:szCs w:val="16"/>
              </w:rPr>
              <w:t>年以上</w:t>
            </w:r>
          </w:p>
        </w:tc>
        <w:tc>
          <w:tcPr>
            <w:tcW w:w="1318" w:type="pct"/>
            <w:shd w:val="clear" w:color="auto" w:fill="auto"/>
            <w:noWrap/>
            <w:vAlign w:val="center"/>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15,038.55</w:t>
            </w:r>
          </w:p>
        </w:tc>
        <w:tc>
          <w:tcPr>
            <w:tcW w:w="1595" w:type="pct"/>
            <w:shd w:val="clear" w:color="auto" w:fill="auto"/>
            <w:noWrap/>
            <w:vAlign w:val="center"/>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10,191.08</w:t>
            </w:r>
          </w:p>
        </w:tc>
      </w:tr>
      <w:tr w:rsidR="00835FFC" w:rsidRPr="00EA612D" w:rsidTr="00A35D1A">
        <w:trPr>
          <w:trHeight w:val="284"/>
        </w:trPr>
        <w:tc>
          <w:tcPr>
            <w:tcW w:w="2087" w:type="pct"/>
            <w:shd w:val="clear" w:color="auto" w:fill="auto"/>
            <w:vAlign w:val="center"/>
            <w:hideMark/>
          </w:tcPr>
          <w:p w:rsidR="00A35D1A" w:rsidRPr="00EA612D" w:rsidRDefault="00A35D1A" w:rsidP="00A35D1A">
            <w:pPr>
              <w:adjustRightInd w:val="0"/>
              <w:snapToGrid w:val="0"/>
              <w:spacing w:line="200" w:lineRule="atLeast"/>
              <w:jc w:val="center"/>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合计</w:t>
            </w:r>
          </w:p>
        </w:tc>
        <w:tc>
          <w:tcPr>
            <w:tcW w:w="1318" w:type="pct"/>
            <w:shd w:val="clear" w:color="auto" w:fill="auto"/>
            <w:noWrap/>
            <w:vAlign w:val="center"/>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25,914.88</w:t>
            </w:r>
          </w:p>
        </w:tc>
        <w:tc>
          <w:tcPr>
            <w:tcW w:w="1595" w:type="pct"/>
            <w:shd w:val="clear" w:color="auto" w:fill="auto"/>
            <w:noWrap/>
            <w:vAlign w:val="center"/>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34,361.37</w:t>
            </w:r>
          </w:p>
        </w:tc>
      </w:tr>
    </w:tbl>
    <w:p w:rsidR="002765B3" w:rsidRPr="00EA612D" w:rsidRDefault="002765B3" w:rsidP="00F663C7">
      <w:pPr>
        <w:ind w:firstLineChars="200" w:firstLine="480"/>
        <w:rPr>
          <w:rStyle w:val="a5"/>
          <w:rFonts w:ascii="宋体" w:eastAsia="宋体" w:hAnsi="宋体" w:cs="宋体"/>
          <w:b w:val="0"/>
          <w:color w:val="000000" w:themeColor="text1"/>
          <w:sz w:val="24"/>
          <w:szCs w:val="24"/>
        </w:rPr>
      </w:pPr>
    </w:p>
    <w:p w:rsidR="00A35D1A" w:rsidRPr="00EA612D" w:rsidRDefault="00572951" w:rsidP="00F663C7">
      <w:pPr>
        <w:ind w:firstLineChars="200" w:firstLine="480"/>
        <w:rPr>
          <w:rStyle w:val="a5"/>
          <w:rFonts w:ascii="Times New Roman" w:hAnsi="Times New Roman" w:cs="Times New Roman"/>
          <w:b w:val="0"/>
          <w:color w:val="000000" w:themeColor="text1"/>
          <w:sz w:val="24"/>
          <w:szCs w:val="24"/>
        </w:rPr>
      </w:pPr>
      <w:r w:rsidRPr="00EA612D">
        <w:rPr>
          <w:rStyle w:val="a5"/>
          <w:rFonts w:ascii="宋体" w:eastAsia="宋体" w:hAnsi="宋体" w:cs="宋体" w:hint="eastAsia"/>
          <w:b w:val="0"/>
          <w:color w:val="000000" w:themeColor="text1"/>
          <w:sz w:val="24"/>
          <w:szCs w:val="24"/>
        </w:rPr>
        <w:t>③</w:t>
      </w:r>
      <w:r w:rsidR="00A35D1A" w:rsidRPr="00EA612D">
        <w:rPr>
          <w:rStyle w:val="a5"/>
          <w:rFonts w:ascii="Times New Roman" w:hAnsi="Times New Roman" w:cs="Times New Roman"/>
          <w:b w:val="0"/>
          <w:color w:val="000000" w:themeColor="text1"/>
          <w:sz w:val="24"/>
          <w:szCs w:val="24"/>
        </w:rPr>
        <w:t>其他应收款按款项性质分类情况如下：</w:t>
      </w:r>
    </w:p>
    <w:p w:rsidR="00A35D1A" w:rsidRPr="00EA612D" w:rsidRDefault="00A35D1A" w:rsidP="00A35D1A">
      <w:pPr>
        <w:jc w:val="right"/>
        <w:rPr>
          <w:rStyle w:val="a5"/>
          <w:rFonts w:ascii="Times New Roman" w:hAnsi="Times New Roman" w:cs="Times New Roman"/>
          <w:b w:val="0"/>
          <w:color w:val="000000" w:themeColor="text1"/>
          <w:szCs w:val="21"/>
        </w:rPr>
      </w:pPr>
      <w:r w:rsidRPr="00EA612D">
        <w:rPr>
          <w:rStyle w:val="a5"/>
          <w:rFonts w:ascii="Times New Roman" w:hAnsi="Times New Roman" w:cs="Times New Roman"/>
          <w:b w:val="0"/>
          <w:color w:val="000000" w:themeColor="text1"/>
          <w:szCs w:val="21"/>
        </w:rPr>
        <w:t>单位：人民币万元</w:t>
      </w:r>
    </w:p>
    <w:tbl>
      <w:tblPr>
        <w:tblW w:w="5000" w:type="pct"/>
        <w:tblBorders>
          <w:top w:val="single" w:sz="12" w:space="0" w:color="auto"/>
          <w:bottom w:val="single" w:sz="12" w:space="0" w:color="auto"/>
          <w:insideH w:val="dotted" w:sz="4" w:space="0" w:color="auto"/>
          <w:insideV w:val="dotted" w:sz="4" w:space="0" w:color="auto"/>
        </w:tblBorders>
        <w:tblCellMar>
          <w:top w:w="28" w:type="dxa"/>
          <w:bottom w:w="28" w:type="dxa"/>
        </w:tblCellMar>
        <w:tblLook w:val="04A0" w:firstRow="1" w:lastRow="0" w:firstColumn="1" w:lastColumn="0" w:noHBand="0" w:noVBand="1"/>
      </w:tblPr>
      <w:tblGrid>
        <w:gridCol w:w="2628"/>
        <w:gridCol w:w="2947"/>
        <w:gridCol w:w="2947"/>
      </w:tblGrid>
      <w:tr w:rsidR="00835FFC" w:rsidRPr="00EA612D" w:rsidTr="00A35D1A">
        <w:trPr>
          <w:trHeight w:val="284"/>
        </w:trPr>
        <w:tc>
          <w:tcPr>
            <w:tcW w:w="1542" w:type="pct"/>
            <w:shd w:val="clear" w:color="auto" w:fill="auto"/>
            <w:vAlign w:val="center"/>
            <w:hideMark/>
          </w:tcPr>
          <w:p w:rsidR="00A35D1A" w:rsidRPr="00EA612D" w:rsidRDefault="00A35D1A" w:rsidP="00A35D1A">
            <w:pPr>
              <w:adjustRightInd w:val="0"/>
              <w:snapToGrid w:val="0"/>
              <w:spacing w:line="200" w:lineRule="atLeast"/>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款项性质</w:t>
            </w:r>
          </w:p>
        </w:tc>
        <w:tc>
          <w:tcPr>
            <w:tcW w:w="1729" w:type="pct"/>
            <w:shd w:val="clear" w:color="auto" w:fill="auto"/>
            <w:noWrap/>
            <w:vAlign w:val="center"/>
          </w:tcPr>
          <w:p w:rsidR="00A35D1A" w:rsidRPr="00EA612D" w:rsidRDefault="00A35D1A" w:rsidP="00A35D1A">
            <w:pPr>
              <w:adjustRightInd w:val="0"/>
              <w:snapToGrid w:val="0"/>
              <w:spacing w:line="200" w:lineRule="atLeast"/>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期末余额</w:t>
            </w:r>
          </w:p>
        </w:tc>
        <w:tc>
          <w:tcPr>
            <w:tcW w:w="1729" w:type="pct"/>
            <w:vAlign w:val="center"/>
          </w:tcPr>
          <w:p w:rsidR="00A35D1A" w:rsidRPr="00EA612D" w:rsidRDefault="00A35D1A" w:rsidP="00A35D1A">
            <w:pPr>
              <w:adjustRightInd w:val="0"/>
              <w:snapToGrid w:val="0"/>
              <w:spacing w:line="200" w:lineRule="atLeast"/>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年初余额</w:t>
            </w:r>
          </w:p>
        </w:tc>
      </w:tr>
      <w:tr w:rsidR="00835FFC" w:rsidRPr="00EA612D" w:rsidTr="00A35D1A">
        <w:trPr>
          <w:trHeight w:val="284"/>
        </w:trPr>
        <w:tc>
          <w:tcPr>
            <w:tcW w:w="1542" w:type="pct"/>
            <w:shd w:val="clear" w:color="auto" w:fill="auto"/>
            <w:vAlign w:val="center"/>
            <w:hideMark/>
          </w:tcPr>
          <w:p w:rsidR="00A35D1A" w:rsidRPr="00EA612D" w:rsidRDefault="00A35D1A" w:rsidP="00A35D1A">
            <w:pPr>
              <w:adjustRightInd w:val="0"/>
              <w:snapToGrid w:val="0"/>
              <w:spacing w:line="200" w:lineRule="atLeas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保证金</w:t>
            </w:r>
          </w:p>
        </w:tc>
        <w:tc>
          <w:tcPr>
            <w:tcW w:w="1729" w:type="pct"/>
            <w:shd w:val="clear" w:color="auto" w:fill="auto"/>
            <w:noWrap/>
            <w:vAlign w:val="center"/>
            <w:hideMark/>
          </w:tcPr>
          <w:p w:rsidR="00A35D1A" w:rsidRPr="00EA612D" w:rsidRDefault="00A35D1A" w:rsidP="00A35D1A">
            <w:pPr>
              <w:adjustRightInd w:val="0"/>
              <w:snapToGrid w:val="0"/>
              <w:spacing w:line="200" w:lineRule="atLeast"/>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12,631.43</w:t>
            </w:r>
          </w:p>
        </w:tc>
        <w:tc>
          <w:tcPr>
            <w:tcW w:w="1729" w:type="pct"/>
            <w:vAlign w:val="center"/>
          </w:tcPr>
          <w:p w:rsidR="00A35D1A" w:rsidRPr="00EA612D" w:rsidRDefault="00A35D1A" w:rsidP="00A35D1A">
            <w:pPr>
              <w:adjustRightInd w:val="0"/>
              <w:snapToGrid w:val="0"/>
              <w:spacing w:line="200" w:lineRule="atLeast"/>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17,903.55</w:t>
            </w:r>
          </w:p>
        </w:tc>
      </w:tr>
      <w:tr w:rsidR="00835FFC" w:rsidRPr="00EA612D" w:rsidTr="00A35D1A">
        <w:trPr>
          <w:trHeight w:val="284"/>
        </w:trPr>
        <w:tc>
          <w:tcPr>
            <w:tcW w:w="1542" w:type="pct"/>
            <w:shd w:val="clear" w:color="auto" w:fill="auto"/>
            <w:vAlign w:val="center"/>
            <w:hideMark/>
          </w:tcPr>
          <w:p w:rsidR="00A35D1A" w:rsidRPr="00EA612D" w:rsidRDefault="00A35D1A" w:rsidP="00A35D1A">
            <w:pPr>
              <w:adjustRightInd w:val="0"/>
              <w:snapToGrid w:val="0"/>
              <w:spacing w:line="200" w:lineRule="atLeas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往来款项</w:t>
            </w:r>
          </w:p>
        </w:tc>
        <w:tc>
          <w:tcPr>
            <w:tcW w:w="1729" w:type="pct"/>
            <w:shd w:val="clear" w:color="auto" w:fill="auto"/>
            <w:noWrap/>
            <w:vAlign w:val="center"/>
            <w:hideMark/>
          </w:tcPr>
          <w:p w:rsidR="00A35D1A" w:rsidRPr="00EA612D" w:rsidRDefault="00A35D1A" w:rsidP="00A35D1A">
            <w:pPr>
              <w:adjustRightInd w:val="0"/>
              <w:snapToGrid w:val="0"/>
              <w:spacing w:line="200" w:lineRule="atLeast"/>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10,962.63</w:t>
            </w:r>
          </w:p>
        </w:tc>
        <w:tc>
          <w:tcPr>
            <w:tcW w:w="1729" w:type="pct"/>
            <w:vAlign w:val="center"/>
          </w:tcPr>
          <w:p w:rsidR="00A35D1A" w:rsidRPr="00EA612D" w:rsidRDefault="00A35D1A" w:rsidP="00A35D1A">
            <w:pPr>
              <w:adjustRightInd w:val="0"/>
              <w:snapToGrid w:val="0"/>
              <w:spacing w:line="200" w:lineRule="atLeast"/>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13,963.33</w:t>
            </w:r>
          </w:p>
        </w:tc>
      </w:tr>
      <w:tr w:rsidR="00835FFC" w:rsidRPr="00EA612D" w:rsidTr="00A35D1A">
        <w:trPr>
          <w:trHeight w:val="284"/>
        </w:trPr>
        <w:tc>
          <w:tcPr>
            <w:tcW w:w="1542" w:type="pct"/>
            <w:shd w:val="clear" w:color="auto" w:fill="auto"/>
            <w:vAlign w:val="center"/>
          </w:tcPr>
          <w:p w:rsidR="00A35D1A" w:rsidRPr="00EA612D" w:rsidRDefault="00A35D1A" w:rsidP="00A35D1A">
            <w:pPr>
              <w:adjustRightInd w:val="0"/>
              <w:snapToGrid w:val="0"/>
              <w:spacing w:line="200" w:lineRule="atLeas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代扣款项</w:t>
            </w:r>
          </w:p>
        </w:tc>
        <w:tc>
          <w:tcPr>
            <w:tcW w:w="1729" w:type="pct"/>
            <w:shd w:val="clear" w:color="auto" w:fill="auto"/>
            <w:noWrap/>
            <w:vAlign w:val="center"/>
          </w:tcPr>
          <w:p w:rsidR="00A35D1A" w:rsidRPr="00EA612D" w:rsidRDefault="00A35D1A" w:rsidP="00A35D1A">
            <w:pPr>
              <w:adjustRightInd w:val="0"/>
              <w:snapToGrid w:val="0"/>
              <w:spacing w:line="200" w:lineRule="atLeast"/>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243.80</w:t>
            </w:r>
          </w:p>
        </w:tc>
        <w:tc>
          <w:tcPr>
            <w:tcW w:w="1729" w:type="pct"/>
            <w:vAlign w:val="center"/>
          </w:tcPr>
          <w:p w:rsidR="00A35D1A" w:rsidRPr="00EA612D" w:rsidRDefault="00A35D1A" w:rsidP="00A35D1A">
            <w:pPr>
              <w:adjustRightInd w:val="0"/>
              <w:snapToGrid w:val="0"/>
              <w:spacing w:line="200" w:lineRule="atLeast"/>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295.82</w:t>
            </w:r>
          </w:p>
        </w:tc>
      </w:tr>
      <w:tr w:rsidR="00835FFC" w:rsidRPr="00EA612D" w:rsidTr="00A35D1A">
        <w:trPr>
          <w:trHeight w:val="284"/>
        </w:trPr>
        <w:tc>
          <w:tcPr>
            <w:tcW w:w="1542" w:type="pct"/>
            <w:shd w:val="clear" w:color="auto" w:fill="auto"/>
            <w:vAlign w:val="center"/>
          </w:tcPr>
          <w:p w:rsidR="00A35D1A" w:rsidRPr="00EA612D" w:rsidRDefault="00A35D1A" w:rsidP="00A35D1A">
            <w:pPr>
              <w:adjustRightInd w:val="0"/>
              <w:snapToGrid w:val="0"/>
              <w:spacing w:line="200" w:lineRule="atLeas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暂付款</w:t>
            </w:r>
          </w:p>
        </w:tc>
        <w:tc>
          <w:tcPr>
            <w:tcW w:w="1729" w:type="pct"/>
            <w:shd w:val="clear" w:color="auto" w:fill="auto"/>
            <w:noWrap/>
            <w:vAlign w:val="center"/>
          </w:tcPr>
          <w:p w:rsidR="00A35D1A" w:rsidRPr="00EA612D" w:rsidRDefault="00A35D1A" w:rsidP="00A35D1A">
            <w:pPr>
              <w:adjustRightInd w:val="0"/>
              <w:snapToGrid w:val="0"/>
              <w:spacing w:line="200" w:lineRule="atLeast"/>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1,018.73</w:t>
            </w:r>
          </w:p>
        </w:tc>
        <w:tc>
          <w:tcPr>
            <w:tcW w:w="1729" w:type="pct"/>
            <w:vAlign w:val="center"/>
          </w:tcPr>
          <w:p w:rsidR="00A35D1A" w:rsidRPr="00EA612D" w:rsidRDefault="00A35D1A" w:rsidP="00A35D1A">
            <w:pPr>
              <w:adjustRightInd w:val="0"/>
              <w:snapToGrid w:val="0"/>
              <w:spacing w:line="200" w:lineRule="atLeast"/>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975.22</w:t>
            </w:r>
          </w:p>
        </w:tc>
      </w:tr>
      <w:tr w:rsidR="00835FFC" w:rsidRPr="00EA612D" w:rsidTr="00A35D1A">
        <w:trPr>
          <w:trHeight w:val="284"/>
        </w:trPr>
        <w:tc>
          <w:tcPr>
            <w:tcW w:w="1542" w:type="pct"/>
            <w:shd w:val="clear" w:color="auto" w:fill="auto"/>
            <w:vAlign w:val="center"/>
          </w:tcPr>
          <w:p w:rsidR="00A35D1A" w:rsidRPr="00EA612D" w:rsidRDefault="00A35D1A" w:rsidP="00A35D1A">
            <w:pPr>
              <w:adjustRightInd w:val="0"/>
              <w:snapToGrid w:val="0"/>
              <w:spacing w:line="200" w:lineRule="atLeas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押金</w:t>
            </w:r>
          </w:p>
        </w:tc>
        <w:tc>
          <w:tcPr>
            <w:tcW w:w="1729" w:type="pct"/>
            <w:shd w:val="clear" w:color="auto" w:fill="auto"/>
            <w:noWrap/>
            <w:vAlign w:val="center"/>
          </w:tcPr>
          <w:p w:rsidR="00A35D1A" w:rsidRPr="00EA612D" w:rsidRDefault="00A35D1A" w:rsidP="00A35D1A">
            <w:pPr>
              <w:adjustRightInd w:val="0"/>
              <w:snapToGrid w:val="0"/>
              <w:spacing w:line="200" w:lineRule="atLeast"/>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191.19</w:t>
            </w:r>
          </w:p>
        </w:tc>
        <w:tc>
          <w:tcPr>
            <w:tcW w:w="1729" w:type="pct"/>
            <w:vAlign w:val="center"/>
          </w:tcPr>
          <w:p w:rsidR="00A35D1A" w:rsidRPr="00EA612D" w:rsidRDefault="00A35D1A" w:rsidP="00A35D1A">
            <w:pPr>
              <w:adjustRightInd w:val="0"/>
              <w:snapToGrid w:val="0"/>
              <w:spacing w:line="200" w:lineRule="atLeast"/>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206.03</w:t>
            </w:r>
          </w:p>
        </w:tc>
      </w:tr>
      <w:tr w:rsidR="00835FFC" w:rsidRPr="00EA612D" w:rsidTr="00A35D1A">
        <w:trPr>
          <w:trHeight w:val="284"/>
        </w:trPr>
        <w:tc>
          <w:tcPr>
            <w:tcW w:w="1542" w:type="pct"/>
            <w:shd w:val="clear" w:color="auto" w:fill="auto"/>
            <w:vAlign w:val="center"/>
          </w:tcPr>
          <w:p w:rsidR="00A35D1A" w:rsidRPr="00EA612D" w:rsidRDefault="00A35D1A" w:rsidP="00A35D1A">
            <w:pPr>
              <w:adjustRightInd w:val="0"/>
              <w:snapToGrid w:val="0"/>
              <w:spacing w:line="200" w:lineRule="atLeas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其他</w:t>
            </w:r>
          </w:p>
        </w:tc>
        <w:tc>
          <w:tcPr>
            <w:tcW w:w="1729" w:type="pct"/>
            <w:shd w:val="clear" w:color="auto" w:fill="auto"/>
            <w:noWrap/>
            <w:vAlign w:val="center"/>
          </w:tcPr>
          <w:p w:rsidR="00A35D1A" w:rsidRPr="00EA612D" w:rsidRDefault="00A35D1A" w:rsidP="00A35D1A">
            <w:pPr>
              <w:adjustRightInd w:val="0"/>
              <w:snapToGrid w:val="0"/>
              <w:spacing w:line="200" w:lineRule="atLeast"/>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867.10</w:t>
            </w:r>
          </w:p>
        </w:tc>
        <w:tc>
          <w:tcPr>
            <w:tcW w:w="1729" w:type="pct"/>
            <w:vAlign w:val="center"/>
          </w:tcPr>
          <w:p w:rsidR="00A35D1A" w:rsidRPr="00EA612D" w:rsidRDefault="00A35D1A" w:rsidP="00A35D1A">
            <w:pPr>
              <w:adjustRightInd w:val="0"/>
              <w:snapToGrid w:val="0"/>
              <w:spacing w:line="200" w:lineRule="atLeast"/>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1,017.42</w:t>
            </w:r>
          </w:p>
        </w:tc>
      </w:tr>
      <w:tr w:rsidR="00835FFC" w:rsidRPr="00EA612D" w:rsidTr="00A35D1A">
        <w:trPr>
          <w:trHeight w:val="284"/>
        </w:trPr>
        <w:tc>
          <w:tcPr>
            <w:tcW w:w="1542" w:type="pct"/>
            <w:shd w:val="clear" w:color="auto" w:fill="auto"/>
            <w:vAlign w:val="center"/>
          </w:tcPr>
          <w:p w:rsidR="00A35D1A" w:rsidRPr="00EA612D" w:rsidRDefault="00A35D1A" w:rsidP="00A35D1A">
            <w:pPr>
              <w:adjustRightInd w:val="0"/>
              <w:snapToGrid w:val="0"/>
              <w:spacing w:line="200" w:lineRule="atLeast"/>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合计</w:t>
            </w:r>
          </w:p>
        </w:tc>
        <w:tc>
          <w:tcPr>
            <w:tcW w:w="1729" w:type="pct"/>
            <w:shd w:val="clear" w:color="auto" w:fill="auto"/>
            <w:noWrap/>
            <w:vAlign w:val="center"/>
          </w:tcPr>
          <w:p w:rsidR="00A35D1A" w:rsidRPr="00EA612D" w:rsidRDefault="00A35D1A" w:rsidP="00A35D1A">
            <w:pPr>
              <w:adjustRightInd w:val="0"/>
              <w:snapToGrid w:val="0"/>
              <w:spacing w:line="200" w:lineRule="atLeast"/>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25,914.88</w:t>
            </w:r>
          </w:p>
        </w:tc>
        <w:tc>
          <w:tcPr>
            <w:tcW w:w="1729" w:type="pct"/>
            <w:vAlign w:val="center"/>
          </w:tcPr>
          <w:p w:rsidR="00A35D1A" w:rsidRPr="00EA612D" w:rsidRDefault="00A35D1A" w:rsidP="00A35D1A">
            <w:pPr>
              <w:adjustRightInd w:val="0"/>
              <w:snapToGrid w:val="0"/>
              <w:spacing w:line="200" w:lineRule="atLeast"/>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34,361.37</w:t>
            </w:r>
          </w:p>
        </w:tc>
      </w:tr>
    </w:tbl>
    <w:p w:rsidR="00A35D1A" w:rsidRPr="00EA612D" w:rsidRDefault="00A35D1A" w:rsidP="00F663C7">
      <w:pPr>
        <w:spacing w:beforeLines="50" w:before="156" w:afterLines="50" w:after="156" w:line="360" w:lineRule="auto"/>
        <w:ind w:leftChars="50" w:left="105" w:rightChars="50" w:right="105" w:firstLineChars="200" w:firstLine="480"/>
        <w:jc w:val="left"/>
        <w:rPr>
          <w:rStyle w:val="a5"/>
          <w:rFonts w:asciiTheme="minorEastAsia" w:hAnsiTheme="minorEastAsia" w:cs="Times New Roman"/>
          <w:b w:val="0"/>
          <w:color w:val="000000" w:themeColor="text1"/>
          <w:sz w:val="24"/>
          <w:szCs w:val="24"/>
        </w:rPr>
      </w:pPr>
      <w:r w:rsidRPr="00EA612D">
        <w:rPr>
          <w:rStyle w:val="a5"/>
          <w:rFonts w:asciiTheme="minorEastAsia" w:hAnsiTheme="minorEastAsia" w:cs="Times New Roman"/>
          <w:b w:val="0"/>
          <w:color w:val="000000" w:themeColor="text1"/>
          <w:sz w:val="24"/>
          <w:szCs w:val="24"/>
        </w:rPr>
        <w:lastRenderedPageBreak/>
        <w:t>从以上三个方面可以看出，2016年度公司加强对其他应收款的催收力度，公司收回前期股权</w:t>
      </w:r>
      <w:proofErr w:type="gramStart"/>
      <w:r w:rsidRPr="00EA612D">
        <w:rPr>
          <w:rStyle w:val="a5"/>
          <w:rFonts w:asciiTheme="minorEastAsia" w:hAnsiTheme="minorEastAsia" w:cs="Times New Roman"/>
          <w:b w:val="0"/>
          <w:color w:val="000000" w:themeColor="text1"/>
          <w:sz w:val="24"/>
          <w:szCs w:val="24"/>
        </w:rPr>
        <w:t>处置款</w:t>
      </w:r>
      <w:proofErr w:type="gramEnd"/>
      <w:r w:rsidRPr="00EA612D">
        <w:rPr>
          <w:rStyle w:val="a5"/>
          <w:rFonts w:asciiTheme="minorEastAsia" w:hAnsiTheme="minorEastAsia" w:cs="Times New Roman"/>
          <w:b w:val="0"/>
          <w:color w:val="000000" w:themeColor="text1"/>
          <w:sz w:val="24"/>
          <w:szCs w:val="24"/>
        </w:rPr>
        <w:t>江苏汉禧实业有限公司</w:t>
      </w:r>
      <w:r w:rsidR="001369FD" w:rsidRPr="00EA612D">
        <w:rPr>
          <w:rStyle w:val="a5"/>
          <w:rFonts w:asciiTheme="minorEastAsia" w:hAnsiTheme="minorEastAsia" w:cs="Times New Roman" w:hint="eastAsia"/>
          <w:b w:val="0"/>
          <w:color w:val="000000" w:themeColor="text1"/>
          <w:sz w:val="24"/>
          <w:szCs w:val="24"/>
        </w:rPr>
        <w:t>1,592.50万</w:t>
      </w:r>
      <w:r w:rsidRPr="00EA612D">
        <w:rPr>
          <w:rStyle w:val="a5"/>
          <w:rFonts w:asciiTheme="minorEastAsia" w:hAnsiTheme="minorEastAsia" w:cs="Times New Roman"/>
          <w:b w:val="0"/>
          <w:color w:val="000000" w:themeColor="text1"/>
          <w:sz w:val="24"/>
          <w:szCs w:val="24"/>
        </w:rPr>
        <w:t>元，收回非合并范围内关联方往来款</w:t>
      </w:r>
      <w:r w:rsidR="00F44428" w:rsidRPr="00EA612D">
        <w:rPr>
          <w:rStyle w:val="a5"/>
          <w:rFonts w:asciiTheme="minorEastAsia" w:hAnsiTheme="minorEastAsia" w:cs="Times New Roman"/>
          <w:b w:val="0"/>
          <w:color w:val="000000" w:themeColor="text1"/>
          <w:sz w:val="24"/>
          <w:szCs w:val="24"/>
        </w:rPr>
        <w:t>1,874.72</w:t>
      </w:r>
      <w:r w:rsidR="00F44428" w:rsidRPr="00EA612D">
        <w:rPr>
          <w:rStyle w:val="a5"/>
          <w:rFonts w:asciiTheme="minorEastAsia" w:hAnsiTheme="minorEastAsia" w:cs="Times New Roman" w:hint="eastAsia"/>
          <w:b w:val="0"/>
          <w:color w:val="000000" w:themeColor="text1"/>
          <w:sz w:val="24"/>
          <w:szCs w:val="24"/>
        </w:rPr>
        <w:t>万</w:t>
      </w:r>
      <w:r w:rsidRPr="00EA612D">
        <w:rPr>
          <w:rStyle w:val="a5"/>
          <w:rFonts w:asciiTheme="minorEastAsia" w:hAnsiTheme="minorEastAsia" w:cs="Times New Roman"/>
          <w:b w:val="0"/>
          <w:color w:val="000000" w:themeColor="text1"/>
          <w:sz w:val="24"/>
          <w:szCs w:val="24"/>
        </w:rPr>
        <w:t>元及其他大额项目保证金等，同时公司</w:t>
      </w:r>
      <w:proofErr w:type="gramStart"/>
      <w:r w:rsidRPr="00EA612D">
        <w:rPr>
          <w:rStyle w:val="a5"/>
          <w:rFonts w:asciiTheme="minorEastAsia" w:hAnsiTheme="minorEastAsia" w:cs="Times New Roman"/>
          <w:b w:val="0"/>
          <w:color w:val="000000" w:themeColor="text1"/>
          <w:sz w:val="24"/>
          <w:szCs w:val="24"/>
        </w:rPr>
        <w:t>受业务</w:t>
      </w:r>
      <w:proofErr w:type="gramEnd"/>
      <w:r w:rsidRPr="00EA612D">
        <w:rPr>
          <w:rStyle w:val="a5"/>
          <w:rFonts w:asciiTheme="minorEastAsia" w:hAnsiTheme="minorEastAsia" w:cs="Times New Roman"/>
          <w:b w:val="0"/>
          <w:color w:val="000000" w:themeColor="text1"/>
          <w:sz w:val="24"/>
          <w:szCs w:val="24"/>
        </w:rPr>
        <w:t>影响新增1年内其他应收</w:t>
      </w:r>
      <w:proofErr w:type="gramStart"/>
      <w:r w:rsidRPr="00EA612D">
        <w:rPr>
          <w:rStyle w:val="a5"/>
          <w:rFonts w:asciiTheme="minorEastAsia" w:hAnsiTheme="minorEastAsia" w:cs="Times New Roman"/>
          <w:b w:val="0"/>
          <w:color w:val="000000" w:themeColor="text1"/>
          <w:sz w:val="24"/>
          <w:szCs w:val="24"/>
        </w:rPr>
        <w:t>款明显</w:t>
      </w:r>
      <w:proofErr w:type="gramEnd"/>
      <w:r w:rsidRPr="00EA612D">
        <w:rPr>
          <w:rStyle w:val="a5"/>
          <w:rFonts w:asciiTheme="minorEastAsia" w:hAnsiTheme="minorEastAsia" w:cs="Times New Roman"/>
          <w:b w:val="0"/>
          <w:color w:val="000000" w:themeColor="text1"/>
          <w:sz w:val="24"/>
          <w:szCs w:val="24"/>
        </w:rPr>
        <w:t>降低，导致公司其他应收款总额趋于下降，但公司3年以上的其他应收款增加</w:t>
      </w:r>
      <w:r w:rsidR="001369FD" w:rsidRPr="00EA612D">
        <w:rPr>
          <w:rStyle w:val="a5"/>
          <w:rFonts w:asciiTheme="minorEastAsia" w:hAnsiTheme="minorEastAsia" w:cs="Times New Roman" w:hint="eastAsia"/>
          <w:b w:val="0"/>
          <w:color w:val="000000" w:themeColor="text1"/>
          <w:sz w:val="24"/>
          <w:szCs w:val="24"/>
        </w:rPr>
        <w:t>4,847.47万</w:t>
      </w:r>
      <w:r w:rsidRPr="00EA612D">
        <w:rPr>
          <w:rStyle w:val="a5"/>
          <w:rFonts w:asciiTheme="minorEastAsia" w:hAnsiTheme="minorEastAsia" w:cs="Times New Roman"/>
          <w:b w:val="0"/>
          <w:color w:val="000000" w:themeColor="text1"/>
          <w:sz w:val="24"/>
          <w:szCs w:val="24"/>
        </w:rPr>
        <w:t>元，导致公司本期期末总体坏账风险加大。</w:t>
      </w:r>
    </w:p>
    <w:p w:rsidR="00A35D1A" w:rsidRPr="00EA612D" w:rsidRDefault="00A35D1A" w:rsidP="00F663C7">
      <w:pPr>
        <w:spacing w:beforeLines="50" w:before="156" w:afterLines="50" w:after="156" w:line="360" w:lineRule="auto"/>
        <w:ind w:leftChars="50" w:left="105" w:rightChars="50" w:right="105"/>
        <w:rPr>
          <w:rStyle w:val="a5"/>
          <w:rFonts w:asciiTheme="minorEastAsia" w:hAnsiTheme="minorEastAsia" w:cs="Times New Roman"/>
          <w:b w:val="0"/>
          <w:color w:val="000000" w:themeColor="text1"/>
          <w:sz w:val="24"/>
          <w:szCs w:val="24"/>
        </w:rPr>
      </w:pPr>
      <w:r w:rsidRPr="00EA612D">
        <w:rPr>
          <w:rStyle w:val="a5"/>
          <w:rFonts w:asciiTheme="minorEastAsia" w:hAnsiTheme="minorEastAsia" w:cs="Times New Roman"/>
          <w:b w:val="0"/>
          <w:color w:val="000000" w:themeColor="text1"/>
          <w:sz w:val="24"/>
          <w:szCs w:val="24"/>
        </w:rPr>
        <w:t xml:space="preserve">    公司单项金额</w:t>
      </w:r>
      <w:proofErr w:type="gramStart"/>
      <w:r w:rsidRPr="00EA612D">
        <w:rPr>
          <w:rStyle w:val="a5"/>
          <w:rFonts w:asciiTheme="minorEastAsia" w:hAnsiTheme="minorEastAsia" w:cs="Times New Roman"/>
          <w:b w:val="0"/>
          <w:color w:val="000000" w:themeColor="text1"/>
          <w:sz w:val="24"/>
          <w:szCs w:val="24"/>
        </w:rPr>
        <w:t>不重大</w:t>
      </w:r>
      <w:proofErr w:type="gramEnd"/>
      <w:r w:rsidRPr="00EA612D">
        <w:rPr>
          <w:rStyle w:val="a5"/>
          <w:rFonts w:asciiTheme="minorEastAsia" w:hAnsiTheme="minorEastAsia" w:cs="Times New Roman"/>
          <w:b w:val="0"/>
          <w:color w:val="000000" w:themeColor="text1"/>
          <w:sz w:val="24"/>
          <w:szCs w:val="24"/>
        </w:rPr>
        <w:t>但单独计提坏账准备的其他应收款主要是5年以上的其他应收款，对于确实存在较大回收风险的其他应收款进行单项认定</w:t>
      </w:r>
      <w:r w:rsidR="00D50E42" w:rsidRPr="00EA612D">
        <w:rPr>
          <w:rStyle w:val="a5"/>
          <w:rFonts w:asciiTheme="minorEastAsia" w:hAnsiTheme="minorEastAsia" w:cs="Times New Roman" w:hint="eastAsia"/>
          <w:b w:val="0"/>
          <w:color w:val="000000" w:themeColor="text1"/>
          <w:sz w:val="24"/>
          <w:szCs w:val="24"/>
        </w:rPr>
        <w:t>，计提坏账准备</w:t>
      </w:r>
      <w:r w:rsidRPr="00EA612D">
        <w:rPr>
          <w:rStyle w:val="a5"/>
          <w:rFonts w:asciiTheme="minorEastAsia" w:hAnsiTheme="minorEastAsia" w:cs="Times New Roman"/>
          <w:b w:val="0"/>
          <w:color w:val="000000" w:themeColor="text1"/>
          <w:sz w:val="24"/>
          <w:szCs w:val="24"/>
        </w:rPr>
        <w:t>。</w:t>
      </w:r>
    </w:p>
    <w:p w:rsidR="00A35D1A" w:rsidRPr="00EA612D" w:rsidRDefault="00A35D1A" w:rsidP="00F663C7">
      <w:pPr>
        <w:spacing w:beforeLines="50" w:before="156" w:afterLines="50" w:after="156" w:line="360" w:lineRule="auto"/>
        <w:ind w:leftChars="50" w:left="105" w:rightChars="50" w:right="105" w:firstLineChars="200" w:firstLine="480"/>
        <w:rPr>
          <w:rStyle w:val="a5"/>
          <w:rFonts w:asciiTheme="minorEastAsia" w:hAnsiTheme="minorEastAsia" w:cs="Times New Roman"/>
          <w:b w:val="0"/>
          <w:color w:val="000000" w:themeColor="text1"/>
          <w:sz w:val="24"/>
          <w:szCs w:val="24"/>
        </w:rPr>
      </w:pPr>
      <w:r w:rsidRPr="00EA612D">
        <w:rPr>
          <w:rStyle w:val="a5"/>
          <w:rFonts w:asciiTheme="minorEastAsia" w:hAnsiTheme="minorEastAsia" w:cs="Times New Roman"/>
          <w:b w:val="0"/>
          <w:color w:val="000000" w:themeColor="text1"/>
          <w:sz w:val="24"/>
          <w:szCs w:val="24"/>
        </w:rPr>
        <w:t>综</w:t>
      </w:r>
      <w:r w:rsidR="001369FD" w:rsidRPr="00EA612D">
        <w:rPr>
          <w:rStyle w:val="a5"/>
          <w:rFonts w:asciiTheme="minorEastAsia" w:hAnsiTheme="minorEastAsia" w:cs="Times New Roman" w:hint="eastAsia"/>
          <w:b w:val="0"/>
          <w:color w:val="000000" w:themeColor="text1"/>
          <w:sz w:val="24"/>
          <w:szCs w:val="24"/>
        </w:rPr>
        <w:t>上</w:t>
      </w:r>
      <w:r w:rsidRPr="00EA612D">
        <w:rPr>
          <w:rStyle w:val="a5"/>
          <w:rFonts w:asciiTheme="minorEastAsia" w:hAnsiTheme="minorEastAsia" w:cs="Times New Roman"/>
          <w:b w:val="0"/>
          <w:color w:val="000000" w:themeColor="text1"/>
          <w:sz w:val="24"/>
          <w:szCs w:val="24"/>
        </w:rPr>
        <w:t>所述</w:t>
      </w:r>
      <w:r w:rsidR="001369FD" w:rsidRPr="00EA612D">
        <w:rPr>
          <w:rStyle w:val="a5"/>
          <w:rFonts w:asciiTheme="minorEastAsia" w:hAnsiTheme="minorEastAsia" w:cs="Times New Roman" w:hint="eastAsia"/>
          <w:b w:val="0"/>
          <w:color w:val="000000" w:themeColor="text1"/>
          <w:sz w:val="24"/>
          <w:szCs w:val="24"/>
        </w:rPr>
        <w:t>，</w:t>
      </w:r>
      <w:r w:rsidRPr="00EA612D">
        <w:rPr>
          <w:rStyle w:val="a5"/>
          <w:rFonts w:asciiTheme="minorEastAsia" w:hAnsiTheme="minorEastAsia" w:cs="Times New Roman"/>
          <w:b w:val="0"/>
          <w:color w:val="000000" w:themeColor="text1"/>
          <w:sz w:val="24"/>
          <w:szCs w:val="24"/>
        </w:rPr>
        <w:t>公司本期计提坏账准备主要考虑公司其他应收款的账龄结构，对于确实存在较大回收风险的其他应收款按照公司会计政策进行单项认定。</w:t>
      </w:r>
    </w:p>
    <w:p w:rsidR="00A35D1A" w:rsidRPr="00EA612D" w:rsidRDefault="00F530DF" w:rsidP="00F663C7">
      <w:pPr>
        <w:spacing w:beforeLines="50" w:before="156" w:afterLines="50" w:after="156" w:line="360" w:lineRule="auto"/>
        <w:ind w:leftChars="50" w:left="105" w:rightChars="50" w:right="105" w:firstLineChars="200" w:firstLine="480"/>
        <w:rPr>
          <w:rStyle w:val="a5"/>
          <w:rFonts w:asciiTheme="minorEastAsia" w:hAnsiTheme="minorEastAsia" w:cs="Times New Roman"/>
          <w:b w:val="0"/>
          <w:color w:val="000000" w:themeColor="text1"/>
          <w:sz w:val="24"/>
          <w:szCs w:val="24"/>
        </w:rPr>
      </w:pPr>
      <w:r w:rsidRPr="00EA612D">
        <w:rPr>
          <w:rStyle w:val="a5"/>
          <w:rFonts w:asciiTheme="minorEastAsia" w:hAnsiTheme="minorEastAsia" w:cs="Times New Roman" w:hint="eastAsia"/>
          <w:b w:val="0"/>
          <w:color w:val="000000" w:themeColor="text1"/>
          <w:sz w:val="24"/>
          <w:szCs w:val="24"/>
        </w:rPr>
        <w:t>（2）</w:t>
      </w:r>
      <w:r w:rsidR="00A35D1A" w:rsidRPr="00EA612D">
        <w:rPr>
          <w:rStyle w:val="a5"/>
          <w:rFonts w:asciiTheme="minorEastAsia" w:hAnsiTheme="minorEastAsia" w:cs="Times New Roman"/>
          <w:b w:val="0"/>
          <w:color w:val="000000" w:themeColor="text1"/>
          <w:sz w:val="24"/>
          <w:szCs w:val="24"/>
        </w:rPr>
        <w:t>2016年度其他应收款坏账准备计提比例大幅高于2015年度的原因、依据及合理性</w:t>
      </w:r>
    </w:p>
    <w:p w:rsidR="00A35D1A" w:rsidRPr="00EA612D" w:rsidRDefault="00A35D1A" w:rsidP="00F663C7">
      <w:pPr>
        <w:spacing w:beforeLines="50" w:before="156" w:afterLines="50" w:after="156" w:line="360" w:lineRule="auto"/>
        <w:ind w:leftChars="50" w:left="105" w:rightChars="50" w:right="105" w:firstLineChars="200" w:firstLine="480"/>
        <w:rPr>
          <w:rStyle w:val="a5"/>
          <w:rFonts w:asciiTheme="minorEastAsia" w:hAnsiTheme="minorEastAsia" w:cs="Times New Roman"/>
          <w:b w:val="0"/>
          <w:color w:val="000000" w:themeColor="text1"/>
          <w:sz w:val="24"/>
          <w:szCs w:val="24"/>
        </w:rPr>
      </w:pPr>
      <w:r w:rsidRPr="00EA612D">
        <w:rPr>
          <w:rStyle w:val="a5"/>
          <w:rFonts w:asciiTheme="minorEastAsia" w:hAnsiTheme="minorEastAsia" w:cs="Times New Roman"/>
          <w:b w:val="0"/>
          <w:color w:val="000000" w:themeColor="text1"/>
          <w:sz w:val="24"/>
          <w:szCs w:val="24"/>
        </w:rPr>
        <w:t>2016年度公司其他应收款坏账准备计提比例大幅高于以往年度的原因及依据主要如下：</w:t>
      </w:r>
    </w:p>
    <w:p w:rsidR="00A35D1A" w:rsidRPr="00EA612D" w:rsidRDefault="00A35D1A" w:rsidP="002765B3">
      <w:pPr>
        <w:pStyle w:val="a6"/>
        <w:numPr>
          <w:ilvl w:val="0"/>
          <w:numId w:val="24"/>
        </w:numPr>
        <w:tabs>
          <w:tab w:val="left" w:pos="851"/>
          <w:tab w:val="left" w:pos="924"/>
        </w:tabs>
        <w:spacing w:beforeLines="50" w:before="156" w:afterLines="50" w:after="156" w:line="360" w:lineRule="auto"/>
        <w:ind w:left="142" w:rightChars="50" w:right="105" w:firstLineChars="0" w:firstLine="523"/>
        <w:rPr>
          <w:rStyle w:val="a5"/>
          <w:rFonts w:asciiTheme="minorEastAsia" w:hAnsiTheme="minorEastAsia" w:cs="Times New Roman"/>
          <w:b w:val="0"/>
          <w:color w:val="000000" w:themeColor="text1"/>
          <w:sz w:val="24"/>
          <w:szCs w:val="24"/>
        </w:rPr>
      </w:pPr>
      <w:proofErr w:type="gramStart"/>
      <w:r w:rsidRPr="00EA612D">
        <w:rPr>
          <w:rStyle w:val="a5"/>
          <w:rFonts w:asciiTheme="minorEastAsia" w:hAnsiTheme="minorEastAsia" w:cs="宋体"/>
          <w:b w:val="0"/>
          <w:color w:val="000000" w:themeColor="text1"/>
          <w:sz w:val="24"/>
          <w:szCs w:val="24"/>
        </w:rPr>
        <w:t>受账龄</w:t>
      </w:r>
      <w:proofErr w:type="gramEnd"/>
      <w:r w:rsidRPr="00EA612D">
        <w:rPr>
          <w:rStyle w:val="a5"/>
          <w:rFonts w:asciiTheme="minorEastAsia" w:hAnsiTheme="minorEastAsia" w:cs="宋体"/>
          <w:b w:val="0"/>
          <w:color w:val="000000" w:themeColor="text1"/>
          <w:sz w:val="24"/>
          <w:szCs w:val="24"/>
        </w:rPr>
        <w:t>滚动影</w:t>
      </w:r>
      <w:r w:rsidRPr="00EA612D">
        <w:rPr>
          <w:rStyle w:val="a5"/>
          <w:rFonts w:asciiTheme="minorEastAsia" w:hAnsiTheme="minorEastAsia" w:cs="Times New Roman"/>
          <w:b w:val="0"/>
          <w:color w:val="000000" w:themeColor="text1"/>
          <w:sz w:val="24"/>
          <w:szCs w:val="24"/>
        </w:rPr>
        <w:t>响，公司按信用风险特征组合计提坏账准备增加740.32万元。其具体情况如下</w:t>
      </w:r>
    </w:p>
    <w:p w:rsidR="00A35D1A" w:rsidRPr="00EA612D" w:rsidRDefault="00A35D1A" w:rsidP="00A35D1A">
      <w:pPr>
        <w:jc w:val="right"/>
        <w:rPr>
          <w:rStyle w:val="a5"/>
          <w:rFonts w:ascii="Times New Roman" w:hAnsi="Times New Roman" w:cs="Times New Roman"/>
          <w:b w:val="0"/>
          <w:color w:val="000000" w:themeColor="text1"/>
          <w:szCs w:val="21"/>
        </w:rPr>
      </w:pPr>
      <w:r w:rsidRPr="00EA612D">
        <w:rPr>
          <w:rStyle w:val="a5"/>
          <w:rFonts w:ascii="Times New Roman" w:hAnsi="Times New Roman" w:cs="Times New Roman"/>
          <w:b w:val="0"/>
          <w:color w:val="000000" w:themeColor="text1"/>
          <w:szCs w:val="21"/>
        </w:rPr>
        <w:t>单位：人民币万元</w:t>
      </w:r>
    </w:p>
    <w:tbl>
      <w:tblPr>
        <w:tblW w:w="5000" w:type="pct"/>
        <w:tblBorders>
          <w:top w:val="single" w:sz="12" w:space="0" w:color="auto"/>
          <w:bottom w:val="single" w:sz="12" w:space="0" w:color="auto"/>
          <w:insideH w:val="dotted" w:sz="4" w:space="0" w:color="auto"/>
          <w:insideV w:val="dotted" w:sz="4" w:space="0" w:color="auto"/>
        </w:tblBorders>
        <w:tblLook w:val="04A0" w:firstRow="1" w:lastRow="0" w:firstColumn="1" w:lastColumn="0" w:noHBand="0" w:noVBand="1"/>
      </w:tblPr>
      <w:tblGrid>
        <w:gridCol w:w="2250"/>
        <w:gridCol w:w="1174"/>
        <w:gridCol w:w="1174"/>
        <w:gridCol w:w="781"/>
        <w:gridCol w:w="1174"/>
        <w:gridCol w:w="1202"/>
        <w:gridCol w:w="767"/>
      </w:tblGrid>
      <w:tr w:rsidR="00835FFC" w:rsidRPr="00EA612D" w:rsidTr="00A35D1A">
        <w:trPr>
          <w:trHeight w:val="270"/>
        </w:trPr>
        <w:tc>
          <w:tcPr>
            <w:tcW w:w="1320" w:type="pct"/>
            <w:vMerge w:val="restart"/>
            <w:shd w:val="clear" w:color="auto" w:fill="auto"/>
            <w:vAlign w:val="center"/>
            <w:hideMark/>
          </w:tcPr>
          <w:p w:rsidR="00A35D1A" w:rsidRPr="00EA612D" w:rsidRDefault="00A35D1A" w:rsidP="00A35D1A">
            <w:pPr>
              <w:snapToGrid w:val="0"/>
              <w:spacing w:line="200" w:lineRule="atLeast"/>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账龄</w:t>
            </w:r>
          </w:p>
        </w:tc>
        <w:tc>
          <w:tcPr>
            <w:tcW w:w="1836" w:type="pct"/>
            <w:gridSpan w:val="3"/>
            <w:shd w:val="clear" w:color="auto" w:fill="auto"/>
            <w:vAlign w:val="center"/>
            <w:hideMark/>
          </w:tcPr>
          <w:p w:rsidR="00A35D1A" w:rsidRPr="00EA612D" w:rsidRDefault="00A35D1A" w:rsidP="00A35D1A">
            <w:pPr>
              <w:snapToGrid w:val="0"/>
              <w:spacing w:line="200" w:lineRule="atLeast"/>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期末余额</w:t>
            </w:r>
          </w:p>
        </w:tc>
        <w:tc>
          <w:tcPr>
            <w:tcW w:w="1844" w:type="pct"/>
            <w:gridSpan w:val="3"/>
            <w:shd w:val="clear" w:color="auto" w:fill="auto"/>
            <w:vAlign w:val="center"/>
            <w:hideMark/>
          </w:tcPr>
          <w:p w:rsidR="00A35D1A" w:rsidRPr="00EA612D" w:rsidRDefault="00A35D1A" w:rsidP="00A35D1A">
            <w:pPr>
              <w:snapToGrid w:val="0"/>
              <w:spacing w:line="200" w:lineRule="atLeast"/>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年初余额</w:t>
            </w:r>
          </w:p>
        </w:tc>
      </w:tr>
      <w:tr w:rsidR="00835FFC" w:rsidRPr="00EA612D" w:rsidTr="00A35D1A">
        <w:trPr>
          <w:trHeight w:val="510"/>
        </w:trPr>
        <w:tc>
          <w:tcPr>
            <w:tcW w:w="1320" w:type="pct"/>
            <w:vMerge/>
            <w:vAlign w:val="center"/>
            <w:hideMark/>
          </w:tcPr>
          <w:p w:rsidR="00A35D1A" w:rsidRPr="00EA612D" w:rsidRDefault="00A35D1A" w:rsidP="00A35D1A">
            <w:pPr>
              <w:snapToGrid w:val="0"/>
              <w:spacing w:line="200" w:lineRule="atLeast"/>
              <w:jc w:val="center"/>
              <w:rPr>
                <w:rFonts w:ascii="Times New Roman" w:hAnsi="Times New Roman" w:cs="Times New Roman"/>
                <w:color w:val="000000" w:themeColor="text1"/>
                <w:sz w:val="16"/>
                <w:szCs w:val="16"/>
              </w:rPr>
            </w:pPr>
          </w:p>
        </w:tc>
        <w:tc>
          <w:tcPr>
            <w:tcW w:w="689" w:type="pct"/>
            <w:shd w:val="clear" w:color="auto" w:fill="auto"/>
            <w:vAlign w:val="center"/>
            <w:hideMark/>
          </w:tcPr>
          <w:p w:rsidR="00A35D1A" w:rsidRPr="00EA612D" w:rsidRDefault="00A35D1A" w:rsidP="00A35D1A">
            <w:pPr>
              <w:snapToGrid w:val="0"/>
              <w:spacing w:line="200" w:lineRule="atLeast"/>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应收账款余额</w:t>
            </w:r>
          </w:p>
        </w:tc>
        <w:tc>
          <w:tcPr>
            <w:tcW w:w="689" w:type="pct"/>
            <w:shd w:val="clear" w:color="auto" w:fill="auto"/>
            <w:vAlign w:val="center"/>
            <w:hideMark/>
          </w:tcPr>
          <w:p w:rsidR="00A35D1A" w:rsidRPr="00EA612D" w:rsidRDefault="00A35D1A" w:rsidP="00A35D1A">
            <w:pPr>
              <w:snapToGrid w:val="0"/>
              <w:spacing w:line="200" w:lineRule="atLeast"/>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坏账准备</w:t>
            </w:r>
          </w:p>
        </w:tc>
        <w:tc>
          <w:tcPr>
            <w:tcW w:w="458" w:type="pct"/>
            <w:shd w:val="clear" w:color="auto" w:fill="auto"/>
            <w:vAlign w:val="center"/>
            <w:hideMark/>
          </w:tcPr>
          <w:p w:rsidR="00A35D1A" w:rsidRPr="00EA612D" w:rsidRDefault="00A35D1A" w:rsidP="00A35D1A">
            <w:pPr>
              <w:snapToGrid w:val="0"/>
              <w:spacing w:line="200" w:lineRule="atLeast"/>
              <w:jc w:val="center"/>
              <w:rPr>
                <w:rFonts w:ascii="Times New Roman"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计提比例（</w:t>
            </w:r>
            <w:r w:rsidRPr="00EA612D">
              <w:rPr>
                <w:rFonts w:ascii="Times New Roman" w:eastAsia="宋体" w:hAnsi="Times New Roman" w:cs="Times New Roman"/>
                <w:color w:val="000000" w:themeColor="text1"/>
                <w:sz w:val="16"/>
                <w:szCs w:val="16"/>
              </w:rPr>
              <w:t>%</w:t>
            </w:r>
            <w:r w:rsidRPr="00EA612D">
              <w:rPr>
                <w:rFonts w:ascii="Times New Roman" w:eastAsia="宋体" w:hAnsi="Times New Roman" w:cs="Times New Roman"/>
                <w:color w:val="000000" w:themeColor="text1"/>
                <w:sz w:val="16"/>
                <w:szCs w:val="16"/>
              </w:rPr>
              <w:t>）</w:t>
            </w:r>
          </w:p>
        </w:tc>
        <w:tc>
          <w:tcPr>
            <w:tcW w:w="689" w:type="pct"/>
            <w:shd w:val="clear" w:color="auto" w:fill="auto"/>
            <w:vAlign w:val="center"/>
            <w:hideMark/>
          </w:tcPr>
          <w:p w:rsidR="00A35D1A" w:rsidRPr="00EA612D" w:rsidRDefault="00A35D1A" w:rsidP="00A35D1A">
            <w:pPr>
              <w:snapToGrid w:val="0"/>
              <w:spacing w:line="200" w:lineRule="atLeast"/>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应收账款余额</w:t>
            </w:r>
          </w:p>
        </w:tc>
        <w:tc>
          <w:tcPr>
            <w:tcW w:w="705" w:type="pct"/>
            <w:shd w:val="clear" w:color="auto" w:fill="auto"/>
            <w:vAlign w:val="center"/>
            <w:hideMark/>
          </w:tcPr>
          <w:p w:rsidR="00A35D1A" w:rsidRPr="00EA612D" w:rsidRDefault="00A35D1A" w:rsidP="00A35D1A">
            <w:pPr>
              <w:snapToGrid w:val="0"/>
              <w:spacing w:line="200" w:lineRule="atLeast"/>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坏账准备</w:t>
            </w:r>
          </w:p>
        </w:tc>
        <w:tc>
          <w:tcPr>
            <w:tcW w:w="450" w:type="pct"/>
            <w:shd w:val="clear" w:color="auto" w:fill="auto"/>
            <w:vAlign w:val="center"/>
            <w:hideMark/>
          </w:tcPr>
          <w:p w:rsidR="00A35D1A" w:rsidRPr="00EA612D" w:rsidRDefault="00A35D1A" w:rsidP="00A35D1A">
            <w:pPr>
              <w:snapToGrid w:val="0"/>
              <w:spacing w:line="200" w:lineRule="atLeast"/>
              <w:jc w:val="center"/>
              <w:rPr>
                <w:rFonts w:ascii="Times New Roman"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计提比例（</w:t>
            </w:r>
            <w:r w:rsidRPr="00EA612D">
              <w:rPr>
                <w:rFonts w:ascii="Times New Roman" w:eastAsia="宋体" w:hAnsi="Times New Roman" w:cs="Times New Roman"/>
                <w:color w:val="000000" w:themeColor="text1"/>
                <w:sz w:val="16"/>
                <w:szCs w:val="16"/>
              </w:rPr>
              <w:t>%</w:t>
            </w:r>
            <w:r w:rsidRPr="00EA612D">
              <w:rPr>
                <w:rFonts w:ascii="Times New Roman" w:eastAsia="宋体" w:hAnsi="Times New Roman" w:cs="Times New Roman"/>
                <w:color w:val="000000" w:themeColor="text1"/>
                <w:sz w:val="16"/>
                <w:szCs w:val="16"/>
              </w:rPr>
              <w:t>）</w:t>
            </w:r>
          </w:p>
        </w:tc>
      </w:tr>
      <w:tr w:rsidR="00835FFC" w:rsidRPr="00EA612D" w:rsidTr="00A35D1A">
        <w:trPr>
          <w:trHeight w:val="283"/>
        </w:trPr>
        <w:tc>
          <w:tcPr>
            <w:tcW w:w="1320" w:type="pct"/>
            <w:vAlign w:val="center"/>
          </w:tcPr>
          <w:p w:rsidR="00A35D1A" w:rsidRPr="00EA612D" w:rsidRDefault="00A35D1A" w:rsidP="00A35D1A">
            <w:pPr>
              <w:adjustRightInd w:val="0"/>
              <w:snapToGrid w:val="0"/>
              <w:spacing w:line="200" w:lineRule="atLeas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1</w:t>
            </w:r>
            <w:r w:rsidRPr="00EA612D">
              <w:rPr>
                <w:rFonts w:ascii="Times New Roman" w:eastAsia="宋体" w:hAnsi="Times New Roman" w:cs="Times New Roman"/>
                <w:color w:val="000000" w:themeColor="text1"/>
                <w:sz w:val="16"/>
                <w:szCs w:val="16"/>
              </w:rPr>
              <w:t>年以内（含</w:t>
            </w:r>
            <w:r w:rsidRPr="00EA612D">
              <w:rPr>
                <w:rFonts w:ascii="Times New Roman" w:eastAsia="宋体" w:hAnsi="Times New Roman" w:cs="Times New Roman"/>
                <w:color w:val="000000" w:themeColor="text1"/>
                <w:sz w:val="16"/>
                <w:szCs w:val="16"/>
              </w:rPr>
              <w:t>1</w:t>
            </w:r>
            <w:r w:rsidRPr="00EA612D">
              <w:rPr>
                <w:rFonts w:ascii="Times New Roman" w:eastAsia="宋体" w:hAnsi="Times New Roman" w:cs="Times New Roman"/>
                <w:color w:val="000000" w:themeColor="text1"/>
                <w:sz w:val="16"/>
                <w:szCs w:val="16"/>
              </w:rPr>
              <w:t>年）</w:t>
            </w:r>
          </w:p>
        </w:tc>
        <w:tc>
          <w:tcPr>
            <w:tcW w:w="689" w:type="pct"/>
            <w:shd w:val="clear" w:color="auto" w:fill="auto"/>
            <w:vAlign w:val="center"/>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7,467.35</w:t>
            </w:r>
          </w:p>
        </w:tc>
        <w:tc>
          <w:tcPr>
            <w:tcW w:w="689" w:type="pct"/>
            <w:shd w:val="clear" w:color="auto" w:fill="auto"/>
            <w:vAlign w:val="center"/>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37.34</w:t>
            </w:r>
          </w:p>
        </w:tc>
        <w:tc>
          <w:tcPr>
            <w:tcW w:w="458" w:type="pct"/>
            <w:shd w:val="clear" w:color="auto" w:fill="auto"/>
            <w:vAlign w:val="center"/>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0.50</w:t>
            </w:r>
          </w:p>
        </w:tc>
        <w:tc>
          <w:tcPr>
            <w:tcW w:w="689" w:type="pct"/>
            <w:shd w:val="clear" w:color="auto" w:fill="auto"/>
            <w:vAlign w:val="center"/>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13,669.63</w:t>
            </w:r>
          </w:p>
        </w:tc>
        <w:tc>
          <w:tcPr>
            <w:tcW w:w="705" w:type="pct"/>
            <w:shd w:val="clear" w:color="auto" w:fill="auto"/>
            <w:vAlign w:val="center"/>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68.29</w:t>
            </w:r>
          </w:p>
        </w:tc>
        <w:tc>
          <w:tcPr>
            <w:tcW w:w="450" w:type="pct"/>
            <w:shd w:val="clear" w:color="auto" w:fill="auto"/>
            <w:vAlign w:val="center"/>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0.50</w:t>
            </w:r>
          </w:p>
        </w:tc>
      </w:tr>
      <w:tr w:rsidR="00835FFC" w:rsidRPr="00EA612D" w:rsidTr="00A35D1A">
        <w:trPr>
          <w:trHeight w:val="338"/>
        </w:trPr>
        <w:tc>
          <w:tcPr>
            <w:tcW w:w="1320" w:type="pct"/>
            <w:vAlign w:val="center"/>
            <w:hideMark/>
          </w:tcPr>
          <w:p w:rsidR="00A35D1A" w:rsidRPr="00EA612D" w:rsidRDefault="00A35D1A" w:rsidP="00A35D1A">
            <w:pPr>
              <w:adjustRightInd w:val="0"/>
              <w:snapToGrid w:val="0"/>
              <w:spacing w:line="200" w:lineRule="atLeas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1</w:t>
            </w:r>
            <w:r w:rsidRPr="00EA612D">
              <w:rPr>
                <w:rFonts w:ascii="Times New Roman" w:eastAsia="宋体" w:hAnsi="Times New Roman" w:cs="Times New Roman"/>
                <w:color w:val="000000" w:themeColor="text1"/>
                <w:sz w:val="16"/>
                <w:szCs w:val="16"/>
              </w:rPr>
              <w:t>－</w:t>
            </w:r>
            <w:r w:rsidRPr="00EA612D">
              <w:rPr>
                <w:rFonts w:ascii="Times New Roman" w:eastAsia="宋体" w:hAnsi="Times New Roman" w:cs="Times New Roman"/>
                <w:color w:val="000000" w:themeColor="text1"/>
                <w:sz w:val="16"/>
                <w:szCs w:val="16"/>
              </w:rPr>
              <w:t>2</w:t>
            </w:r>
            <w:r w:rsidRPr="00EA612D">
              <w:rPr>
                <w:rFonts w:ascii="Times New Roman" w:eastAsia="宋体" w:hAnsi="Times New Roman" w:cs="Times New Roman"/>
                <w:color w:val="000000" w:themeColor="text1"/>
                <w:sz w:val="16"/>
                <w:szCs w:val="16"/>
              </w:rPr>
              <w:t>年（含</w:t>
            </w:r>
            <w:r w:rsidRPr="00EA612D">
              <w:rPr>
                <w:rFonts w:ascii="Times New Roman" w:eastAsia="宋体" w:hAnsi="Times New Roman" w:cs="Times New Roman"/>
                <w:color w:val="000000" w:themeColor="text1"/>
                <w:sz w:val="16"/>
                <w:szCs w:val="16"/>
              </w:rPr>
              <w:t>2</w:t>
            </w:r>
            <w:r w:rsidRPr="00EA612D">
              <w:rPr>
                <w:rFonts w:ascii="Times New Roman" w:eastAsia="宋体" w:hAnsi="Times New Roman" w:cs="Times New Roman"/>
                <w:color w:val="000000" w:themeColor="text1"/>
                <w:sz w:val="16"/>
                <w:szCs w:val="16"/>
              </w:rPr>
              <w:t>年）</w:t>
            </w:r>
          </w:p>
        </w:tc>
        <w:tc>
          <w:tcPr>
            <w:tcW w:w="689" w:type="pct"/>
            <w:shd w:val="clear" w:color="auto" w:fill="auto"/>
            <w:vAlign w:val="center"/>
            <w:hideMark/>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2,345.96</w:t>
            </w:r>
          </w:p>
        </w:tc>
        <w:tc>
          <w:tcPr>
            <w:tcW w:w="689" w:type="pct"/>
            <w:shd w:val="clear" w:color="auto" w:fill="auto"/>
            <w:vAlign w:val="center"/>
            <w:hideMark/>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46.92</w:t>
            </w:r>
          </w:p>
        </w:tc>
        <w:tc>
          <w:tcPr>
            <w:tcW w:w="458" w:type="pct"/>
            <w:shd w:val="clear" w:color="auto" w:fill="auto"/>
            <w:vAlign w:val="center"/>
            <w:hideMark/>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2.00</w:t>
            </w:r>
          </w:p>
        </w:tc>
        <w:tc>
          <w:tcPr>
            <w:tcW w:w="689" w:type="pct"/>
            <w:shd w:val="clear" w:color="auto" w:fill="auto"/>
            <w:vAlign w:val="center"/>
            <w:hideMark/>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4,036.87</w:t>
            </w:r>
          </w:p>
        </w:tc>
        <w:tc>
          <w:tcPr>
            <w:tcW w:w="705" w:type="pct"/>
            <w:shd w:val="clear" w:color="auto" w:fill="auto"/>
            <w:vAlign w:val="center"/>
            <w:hideMark/>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80.74</w:t>
            </w:r>
          </w:p>
        </w:tc>
        <w:tc>
          <w:tcPr>
            <w:tcW w:w="450" w:type="pct"/>
            <w:shd w:val="clear" w:color="auto" w:fill="auto"/>
            <w:vAlign w:val="center"/>
            <w:hideMark/>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2.00</w:t>
            </w:r>
          </w:p>
        </w:tc>
      </w:tr>
      <w:tr w:rsidR="00835FFC" w:rsidRPr="00EA612D" w:rsidTr="00A35D1A">
        <w:trPr>
          <w:trHeight w:val="291"/>
        </w:trPr>
        <w:tc>
          <w:tcPr>
            <w:tcW w:w="1320" w:type="pct"/>
            <w:vAlign w:val="center"/>
            <w:hideMark/>
          </w:tcPr>
          <w:p w:rsidR="00A35D1A" w:rsidRPr="00EA612D" w:rsidRDefault="00A35D1A" w:rsidP="00A35D1A">
            <w:pPr>
              <w:adjustRightInd w:val="0"/>
              <w:snapToGrid w:val="0"/>
              <w:spacing w:line="200" w:lineRule="atLeas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2</w:t>
            </w:r>
            <w:r w:rsidRPr="00EA612D">
              <w:rPr>
                <w:rFonts w:ascii="Times New Roman" w:eastAsia="宋体" w:hAnsi="Times New Roman" w:cs="Times New Roman"/>
                <w:color w:val="000000" w:themeColor="text1"/>
                <w:sz w:val="16"/>
                <w:szCs w:val="16"/>
              </w:rPr>
              <w:t>－</w:t>
            </w:r>
            <w:r w:rsidRPr="00EA612D">
              <w:rPr>
                <w:rFonts w:ascii="Times New Roman" w:eastAsia="宋体" w:hAnsi="Times New Roman" w:cs="Times New Roman"/>
                <w:color w:val="000000" w:themeColor="text1"/>
                <w:sz w:val="16"/>
                <w:szCs w:val="16"/>
              </w:rPr>
              <w:t>3</w:t>
            </w:r>
            <w:r w:rsidRPr="00EA612D">
              <w:rPr>
                <w:rFonts w:ascii="Times New Roman" w:eastAsia="宋体" w:hAnsi="Times New Roman" w:cs="Times New Roman"/>
                <w:color w:val="000000" w:themeColor="text1"/>
                <w:sz w:val="16"/>
                <w:szCs w:val="16"/>
              </w:rPr>
              <w:t>年（含</w:t>
            </w:r>
            <w:r w:rsidRPr="00EA612D">
              <w:rPr>
                <w:rFonts w:ascii="Times New Roman" w:eastAsia="宋体" w:hAnsi="Times New Roman" w:cs="Times New Roman"/>
                <w:color w:val="000000" w:themeColor="text1"/>
                <w:sz w:val="16"/>
                <w:szCs w:val="16"/>
              </w:rPr>
              <w:t>3</w:t>
            </w:r>
            <w:r w:rsidRPr="00EA612D">
              <w:rPr>
                <w:rFonts w:ascii="Times New Roman" w:eastAsia="宋体" w:hAnsi="Times New Roman" w:cs="Times New Roman"/>
                <w:color w:val="000000" w:themeColor="text1"/>
                <w:sz w:val="16"/>
                <w:szCs w:val="16"/>
              </w:rPr>
              <w:t>年）</w:t>
            </w:r>
          </w:p>
        </w:tc>
        <w:tc>
          <w:tcPr>
            <w:tcW w:w="689" w:type="pct"/>
            <w:shd w:val="clear" w:color="auto" w:fill="auto"/>
            <w:vAlign w:val="center"/>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1,063.02</w:t>
            </w:r>
          </w:p>
        </w:tc>
        <w:tc>
          <w:tcPr>
            <w:tcW w:w="689" w:type="pct"/>
            <w:shd w:val="clear" w:color="auto" w:fill="auto"/>
            <w:vAlign w:val="center"/>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53.15</w:t>
            </w:r>
          </w:p>
        </w:tc>
        <w:tc>
          <w:tcPr>
            <w:tcW w:w="458" w:type="pct"/>
            <w:shd w:val="clear" w:color="auto" w:fill="auto"/>
            <w:vAlign w:val="center"/>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5.00</w:t>
            </w:r>
          </w:p>
        </w:tc>
        <w:tc>
          <w:tcPr>
            <w:tcW w:w="689" w:type="pct"/>
            <w:shd w:val="clear" w:color="auto" w:fill="auto"/>
            <w:vAlign w:val="center"/>
            <w:hideMark/>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6,463.79</w:t>
            </w:r>
          </w:p>
        </w:tc>
        <w:tc>
          <w:tcPr>
            <w:tcW w:w="705" w:type="pct"/>
            <w:shd w:val="clear" w:color="auto" w:fill="auto"/>
            <w:vAlign w:val="center"/>
            <w:hideMark/>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323.19</w:t>
            </w:r>
          </w:p>
        </w:tc>
        <w:tc>
          <w:tcPr>
            <w:tcW w:w="450" w:type="pct"/>
            <w:shd w:val="clear" w:color="auto" w:fill="auto"/>
            <w:vAlign w:val="center"/>
            <w:hideMark/>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5.00</w:t>
            </w:r>
          </w:p>
        </w:tc>
      </w:tr>
      <w:tr w:rsidR="00835FFC" w:rsidRPr="00EA612D" w:rsidTr="00A35D1A">
        <w:trPr>
          <w:trHeight w:val="261"/>
        </w:trPr>
        <w:tc>
          <w:tcPr>
            <w:tcW w:w="1320" w:type="pct"/>
            <w:vAlign w:val="center"/>
            <w:hideMark/>
          </w:tcPr>
          <w:p w:rsidR="00A35D1A" w:rsidRPr="00EA612D" w:rsidRDefault="00A35D1A" w:rsidP="00A35D1A">
            <w:pPr>
              <w:adjustRightInd w:val="0"/>
              <w:snapToGrid w:val="0"/>
              <w:spacing w:line="200" w:lineRule="atLeas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3</w:t>
            </w:r>
            <w:r w:rsidRPr="00EA612D">
              <w:rPr>
                <w:rFonts w:ascii="Times New Roman" w:eastAsia="宋体" w:hAnsi="Times New Roman" w:cs="Times New Roman"/>
                <w:color w:val="000000" w:themeColor="text1"/>
                <w:sz w:val="16"/>
                <w:szCs w:val="16"/>
              </w:rPr>
              <w:t>－</w:t>
            </w:r>
            <w:r w:rsidRPr="00EA612D">
              <w:rPr>
                <w:rFonts w:ascii="Times New Roman" w:eastAsia="宋体" w:hAnsi="Times New Roman" w:cs="Times New Roman"/>
                <w:color w:val="000000" w:themeColor="text1"/>
                <w:sz w:val="16"/>
                <w:szCs w:val="16"/>
              </w:rPr>
              <w:t>4</w:t>
            </w:r>
            <w:r w:rsidRPr="00EA612D">
              <w:rPr>
                <w:rFonts w:ascii="Times New Roman" w:eastAsia="宋体" w:hAnsi="Times New Roman" w:cs="Times New Roman"/>
                <w:color w:val="000000" w:themeColor="text1"/>
                <w:sz w:val="16"/>
                <w:szCs w:val="16"/>
              </w:rPr>
              <w:t>年（含</w:t>
            </w:r>
            <w:r w:rsidRPr="00EA612D">
              <w:rPr>
                <w:rFonts w:ascii="Times New Roman" w:eastAsia="宋体" w:hAnsi="Times New Roman" w:cs="Times New Roman"/>
                <w:color w:val="000000" w:themeColor="text1"/>
                <w:sz w:val="16"/>
                <w:szCs w:val="16"/>
              </w:rPr>
              <w:t>4</w:t>
            </w:r>
            <w:r w:rsidRPr="00EA612D">
              <w:rPr>
                <w:rFonts w:ascii="Times New Roman" w:eastAsia="宋体" w:hAnsi="Times New Roman" w:cs="Times New Roman"/>
                <w:color w:val="000000" w:themeColor="text1"/>
                <w:sz w:val="16"/>
                <w:szCs w:val="16"/>
              </w:rPr>
              <w:t>年）</w:t>
            </w:r>
          </w:p>
        </w:tc>
        <w:tc>
          <w:tcPr>
            <w:tcW w:w="689" w:type="pct"/>
            <w:shd w:val="clear" w:color="auto" w:fill="auto"/>
            <w:vAlign w:val="center"/>
            <w:hideMark/>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3,551.89</w:t>
            </w:r>
          </w:p>
        </w:tc>
        <w:tc>
          <w:tcPr>
            <w:tcW w:w="689" w:type="pct"/>
            <w:shd w:val="clear" w:color="auto" w:fill="auto"/>
            <w:vAlign w:val="center"/>
            <w:hideMark/>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1,065.57</w:t>
            </w:r>
          </w:p>
        </w:tc>
        <w:tc>
          <w:tcPr>
            <w:tcW w:w="458" w:type="pct"/>
            <w:shd w:val="clear" w:color="auto" w:fill="auto"/>
            <w:vAlign w:val="center"/>
            <w:hideMark/>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30.00</w:t>
            </w:r>
          </w:p>
        </w:tc>
        <w:tc>
          <w:tcPr>
            <w:tcW w:w="689" w:type="pct"/>
            <w:shd w:val="clear" w:color="auto" w:fill="auto"/>
            <w:vAlign w:val="center"/>
            <w:hideMark/>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600.08</w:t>
            </w:r>
          </w:p>
        </w:tc>
        <w:tc>
          <w:tcPr>
            <w:tcW w:w="705" w:type="pct"/>
            <w:shd w:val="clear" w:color="auto" w:fill="auto"/>
            <w:vAlign w:val="center"/>
            <w:hideMark/>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180.02</w:t>
            </w:r>
          </w:p>
        </w:tc>
        <w:tc>
          <w:tcPr>
            <w:tcW w:w="450" w:type="pct"/>
            <w:shd w:val="clear" w:color="auto" w:fill="auto"/>
            <w:vAlign w:val="center"/>
            <w:hideMark/>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30.00</w:t>
            </w:r>
          </w:p>
        </w:tc>
      </w:tr>
      <w:tr w:rsidR="00835FFC" w:rsidRPr="00EA612D" w:rsidTr="00A35D1A">
        <w:trPr>
          <w:trHeight w:val="297"/>
        </w:trPr>
        <w:tc>
          <w:tcPr>
            <w:tcW w:w="1320" w:type="pct"/>
            <w:vAlign w:val="center"/>
            <w:hideMark/>
          </w:tcPr>
          <w:p w:rsidR="00A35D1A" w:rsidRPr="00EA612D" w:rsidRDefault="00A35D1A" w:rsidP="00A35D1A">
            <w:pPr>
              <w:adjustRightInd w:val="0"/>
              <w:snapToGrid w:val="0"/>
              <w:spacing w:line="200" w:lineRule="atLeas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4</w:t>
            </w:r>
            <w:r w:rsidRPr="00EA612D">
              <w:rPr>
                <w:rFonts w:ascii="Times New Roman" w:eastAsia="宋体" w:hAnsi="Times New Roman" w:cs="Times New Roman"/>
                <w:color w:val="000000" w:themeColor="text1"/>
                <w:sz w:val="16"/>
                <w:szCs w:val="16"/>
              </w:rPr>
              <w:t>－</w:t>
            </w:r>
            <w:r w:rsidRPr="00EA612D">
              <w:rPr>
                <w:rFonts w:ascii="Times New Roman" w:eastAsia="宋体" w:hAnsi="Times New Roman" w:cs="Times New Roman"/>
                <w:color w:val="000000" w:themeColor="text1"/>
                <w:sz w:val="16"/>
                <w:szCs w:val="16"/>
              </w:rPr>
              <w:t>5</w:t>
            </w:r>
            <w:r w:rsidRPr="00EA612D">
              <w:rPr>
                <w:rFonts w:ascii="Times New Roman" w:eastAsia="宋体" w:hAnsi="Times New Roman" w:cs="Times New Roman"/>
                <w:color w:val="000000" w:themeColor="text1"/>
                <w:sz w:val="16"/>
                <w:szCs w:val="16"/>
              </w:rPr>
              <w:t>年（含</w:t>
            </w:r>
            <w:r w:rsidRPr="00EA612D">
              <w:rPr>
                <w:rFonts w:ascii="Times New Roman" w:eastAsia="宋体" w:hAnsi="Times New Roman" w:cs="Times New Roman"/>
                <w:color w:val="000000" w:themeColor="text1"/>
                <w:sz w:val="16"/>
                <w:szCs w:val="16"/>
              </w:rPr>
              <w:t>5</w:t>
            </w:r>
            <w:r w:rsidRPr="00EA612D">
              <w:rPr>
                <w:rFonts w:ascii="Times New Roman" w:eastAsia="宋体" w:hAnsi="Times New Roman" w:cs="Times New Roman"/>
                <w:color w:val="000000" w:themeColor="text1"/>
                <w:sz w:val="16"/>
                <w:szCs w:val="16"/>
              </w:rPr>
              <w:t>年）</w:t>
            </w:r>
          </w:p>
        </w:tc>
        <w:tc>
          <w:tcPr>
            <w:tcW w:w="689" w:type="pct"/>
            <w:shd w:val="clear" w:color="auto" w:fill="auto"/>
            <w:vAlign w:val="center"/>
            <w:hideMark/>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575.79</w:t>
            </w:r>
          </w:p>
        </w:tc>
        <w:tc>
          <w:tcPr>
            <w:tcW w:w="689" w:type="pct"/>
            <w:shd w:val="clear" w:color="auto" w:fill="auto"/>
            <w:vAlign w:val="center"/>
            <w:hideMark/>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287.90</w:t>
            </w:r>
          </w:p>
        </w:tc>
        <w:tc>
          <w:tcPr>
            <w:tcW w:w="458" w:type="pct"/>
            <w:shd w:val="clear" w:color="auto" w:fill="auto"/>
            <w:vAlign w:val="center"/>
            <w:hideMark/>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50.00</w:t>
            </w:r>
          </w:p>
        </w:tc>
        <w:tc>
          <w:tcPr>
            <w:tcW w:w="689" w:type="pct"/>
            <w:shd w:val="clear" w:color="auto" w:fill="auto"/>
            <w:vAlign w:val="center"/>
            <w:hideMark/>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1,049.21</w:t>
            </w:r>
          </w:p>
        </w:tc>
        <w:tc>
          <w:tcPr>
            <w:tcW w:w="705" w:type="pct"/>
            <w:shd w:val="clear" w:color="auto" w:fill="auto"/>
            <w:vAlign w:val="center"/>
            <w:hideMark/>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524.60</w:t>
            </w:r>
          </w:p>
        </w:tc>
        <w:tc>
          <w:tcPr>
            <w:tcW w:w="450" w:type="pct"/>
            <w:shd w:val="clear" w:color="auto" w:fill="auto"/>
            <w:vAlign w:val="center"/>
            <w:hideMark/>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50.00</w:t>
            </w:r>
          </w:p>
        </w:tc>
      </w:tr>
      <w:tr w:rsidR="00835FFC" w:rsidRPr="00EA612D" w:rsidTr="00A35D1A">
        <w:trPr>
          <w:trHeight w:val="297"/>
        </w:trPr>
        <w:tc>
          <w:tcPr>
            <w:tcW w:w="1320" w:type="pct"/>
            <w:vAlign w:val="center"/>
          </w:tcPr>
          <w:p w:rsidR="00A35D1A" w:rsidRPr="00EA612D" w:rsidRDefault="00A35D1A" w:rsidP="00A35D1A">
            <w:pPr>
              <w:adjustRightInd w:val="0"/>
              <w:snapToGrid w:val="0"/>
              <w:spacing w:line="200" w:lineRule="atLeas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5</w:t>
            </w:r>
            <w:r w:rsidRPr="00EA612D">
              <w:rPr>
                <w:rFonts w:ascii="Times New Roman" w:eastAsia="宋体" w:hAnsi="Times New Roman" w:cs="Times New Roman"/>
                <w:color w:val="000000" w:themeColor="text1"/>
                <w:sz w:val="16"/>
                <w:szCs w:val="16"/>
              </w:rPr>
              <w:t>年以上</w:t>
            </w:r>
          </w:p>
        </w:tc>
        <w:tc>
          <w:tcPr>
            <w:tcW w:w="689" w:type="pct"/>
            <w:shd w:val="clear" w:color="auto" w:fill="auto"/>
            <w:vAlign w:val="center"/>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2,715.20</w:t>
            </w:r>
          </w:p>
        </w:tc>
        <w:tc>
          <w:tcPr>
            <w:tcW w:w="689" w:type="pct"/>
            <w:shd w:val="clear" w:color="auto" w:fill="auto"/>
            <w:vAlign w:val="center"/>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2,715.20</w:t>
            </w:r>
          </w:p>
        </w:tc>
        <w:tc>
          <w:tcPr>
            <w:tcW w:w="458" w:type="pct"/>
            <w:shd w:val="clear" w:color="auto" w:fill="auto"/>
            <w:vAlign w:val="center"/>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100.00</w:t>
            </w:r>
          </w:p>
        </w:tc>
        <w:tc>
          <w:tcPr>
            <w:tcW w:w="689" w:type="pct"/>
            <w:shd w:val="clear" w:color="auto" w:fill="auto"/>
            <w:vAlign w:val="center"/>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2,288.91</w:t>
            </w:r>
          </w:p>
        </w:tc>
        <w:tc>
          <w:tcPr>
            <w:tcW w:w="705" w:type="pct"/>
            <w:shd w:val="clear" w:color="auto" w:fill="auto"/>
            <w:vAlign w:val="center"/>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2,288.91</w:t>
            </w:r>
          </w:p>
        </w:tc>
        <w:tc>
          <w:tcPr>
            <w:tcW w:w="450" w:type="pct"/>
            <w:shd w:val="clear" w:color="auto" w:fill="auto"/>
            <w:vAlign w:val="center"/>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100.00</w:t>
            </w:r>
          </w:p>
        </w:tc>
      </w:tr>
      <w:tr w:rsidR="00835FFC" w:rsidRPr="00EA612D" w:rsidTr="00A35D1A">
        <w:trPr>
          <w:trHeight w:val="279"/>
        </w:trPr>
        <w:tc>
          <w:tcPr>
            <w:tcW w:w="1320" w:type="pct"/>
            <w:shd w:val="clear" w:color="auto" w:fill="auto"/>
            <w:vAlign w:val="bottom"/>
            <w:hideMark/>
          </w:tcPr>
          <w:p w:rsidR="00A35D1A" w:rsidRPr="00EA612D" w:rsidRDefault="00A35D1A" w:rsidP="00A35D1A">
            <w:pP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合计</w:t>
            </w:r>
          </w:p>
        </w:tc>
        <w:tc>
          <w:tcPr>
            <w:tcW w:w="689" w:type="pct"/>
            <w:shd w:val="clear" w:color="auto" w:fill="auto"/>
            <w:vAlign w:val="center"/>
            <w:hideMark/>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17,719.22</w:t>
            </w:r>
          </w:p>
        </w:tc>
        <w:tc>
          <w:tcPr>
            <w:tcW w:w="689" w:type="pct"/>
            <w:shd w:val="clear" w:color="auto" w:fill="auto"/>
            <w:vAlign w:val="center"/>
            <w:hideMark/>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4,206.07</w:t>
            </w:r>
          </w:p>
        </w:tc>
        <w:tc>
          <w:tcPr>
            <w:tcW w:w="458" w:type="pct"/>
            <w:shd w:val="clear" w:color="auto" w:fill="auto"/>
            <w:vAlign w:val="center"/>
            <w:hideMark/>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p>
        </w:tc>
        <w:tc>
          <w:tcPr>
            <w:tcW w:w="689" w:type="pct"/>
            <w:shd w:val="clear" w:color="auto" w:fill="auto"/>
            <w:vAlign w:val="center"/>
            <w:hideMark/>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28,108.48</w:t>
            </w:r>
          </w:p>
        </w:tc>
        <w:tc>
          <w:tcPr>
            <w:tcW w:w="705" w:type="pct"/>
            <w:shd w:val="clear" w:color="auto" w:fill="auto"/>
            <w:vAlign w:val="center"/>
            <w:hideMark/>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3,465.75</w:t>
            </w:r>
          </w:p>
        </w:tc>
        <w:tc>
          <w:tcPr>
            <w:tcW w:w="450" w:type="pct"/>
            <w:shd w:val="clear" w:color="auto" w:fill="auto"/>
            <w:vAlign w:val="center"/>
            <w:hideMark/>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p>
        </w:tc>
      </w:tr>
    </w:tbl>
    <w:p w:rsidR="00A35D1A" w:rsidRPr="00EA612D" w:rsidRDefault="00A35D1A" w:rsidP="00F663C7">
      <w:pPr>
        <w:spacing w:beforeLines="50" w:before="156" w:afterLines="50" w:after="156" w:line="360" w:lineRule="auto"/>
        <w:ind w:leftChars="50" w:left="105" w:rightChars="50" w:right="105" w:firstLineChars="200" w:firstLine="480"/>
        <w:rPr>
          <w:rStyle w:val="a5"/>
          <w:rFonts w:asciiTheme="minorEastAsia" w:hAnsiTheme="minorEastAsia" w:cs="Times New Roman"/>
          <w:b w:val="0"/>
          <w:color w:val="000000" w:themeColor="text1"/>
          <w:sz w:val="24"/>
          <w:szCs w:val="24"/>
        </w:rPr>
      </w:pPr>
      <w:r w:rsidRPr="00EA612D">
        <w:rPr>
          <w:rStyle w:val="a5"/>
          <w:rFonts w:asciiTheme="minorEastAsia" w:hAnsiTheme="minorEastAsia" w:cs="Times New Roman"/>
          <w:b w:val="0"/>
          <w:color w:val="000000" w:themeColor="text1"/>
          <w:sz w:val="24"/>
          <w:szCs w:val="24"/>
        </w:rPr>
        <w:t>从上表可以看出，2016年末公司按照账龄计提坏账准备其他应收款余额较年初下降</w:t>
      </w:r>
      <w:r w:rsidR="00D50E42" w:rsidRPr="00EA612D">
        <w:rPr>
          <w:rStyle w:val="a5"/>
          <w:rFonts w:asciiTheme="minorEastAsia" w:hAnsiTheme="minorEastAsia" w:cs="Times New Roman" w:hint="eastAsia"/>
          <w:b w:val="0"/>
          <w:color w:val="000000" w:themeColor="text1"/>
          <w:sz w:val="24"/>
          <w:szCs w:val="24"/>
        </w:rPr>
        <w:t>10,389.26万</w:t>
      </w:r>
      <w:r w:rsidRPr="00EA612D">
        <w:rPr>
          <w:rStyle w:val="a5"/>
          <w:rFonts w:asciiTheme="minorEastAsia" w:hAnsiTheme="minorEastAsia" w:cs="Times New Roman"/>
          <w:b w:val="0"/>
          <w:color w:val="000000" w:themeColor="text1"/>
          <w:sz w:val="24"/>
          <w:szCs w:val="24"/>
        </w:rPr>
        <w:t>元，但由于账龄滚动影响，3年以上的其他应收款增加，导致按照账龄分析法</w:t>
      </w:r>
      <w:r w:rsidR="00D50E42" w:rsidRPr="00EA612D">
        <w:rPr>
          <w:rStyle w:val="a5"/>
          <w:rFonts w:asciiTheme="minorEastAsia" w:hAnsiTheme="minorEastAsia" w:cs="Times New Roman" w:hint="eastAsia"/>
          <w:b w:val="0"/>
          <w:color w:val="000000" w:themeColor="text1"/>
          <w:sz w:val="24"/>
          <w:szCs w:val="24"/>
        </w:rPr>
        <w:t>计提的</w:t>
      </w:r>
      <w:r w:rsidRPr="00EA612D">
        <w:rPr>
          <w:rStyle w:val="a5"/>
          <w:rFonts w:asciiTheme="minorEastAsia" w:hAnsiTheme="minorEastAsia" w:cs="Times New Roman"/>
          <w:b w:val="0"/>
          <w:color w:val="000000" w:themeColor="text1"/>
          <w:sz w:val="24"/>
          <w:szCs w:val="24"/>
        </w:rPr>
        <w:t>坏账准备增加。</w:t>
      </w:r>
    </w:p>
    <w:p w:rsidR="00A35D1A" w:rsidRPr="00EA612D" w:rsidRDefault="00572951" w:rsidP="000E5405">
      <w:pPr>
        <w:tabs>
          <w:tab w:val="left" w:pos="993"/>
        </w:tabs>
        <w:spacing w:beforeLines="50" w:before="156" w:afterLines="50" w:after="156" w:line="360" w:lineRule="auto"/>
        <w:ind w:leftChars="50" w:left="105" w:rightChars="50" w:right="105" w:firstLineChars="200" w:firstLine="480"/>
        <w:rPr>
          <w:rStyle w:val="a5"/>
          <w:rFonts w:asciiTheme="minorEastAsia" w:hAnsiTheme="minorEastAsia" w:cs="Times New Roman"/>
          <w:b w:val="0"/>
          <w:color w:val="000000" w:themeColor="text1"/>
          <w:sz w:val="24"/>
          <w:szCs w:val="24"/>
        </w:rPr>
      </w:pPr>
      <w:r w:rsidRPr="00EA612D">
        <w:rPr>
          <w:rStyle w:val="a5"/>
          <w:rFonts w:asciiTheme="minorEastAsia" w:hAnsiTheme="minorEastAsia" w:cs="宋体" w:hint="eastAsia"/>
          <w:b w:val="0"/>
          <w:color w:val="000000" w:themeColor="text1"/>
          <w:sz w:val="24"/>
          <w:szCs w:val="24"/>
        </w:rPr>
        <w:lastRenderedPageBreak/>
        <w:t>②</w:t>
      </w:r>
      <w:r w:rsidR="00A35D1A" w:rsidRPr="00EA612D">
        <w:rPr>
          <w:rStyle w:val="a5"/>
          <w:rFonts w:asciiTheme="minorEastAsia" w:hAnsiTheme="minorEastAsia" w:cs="Times New Roman"/>
          <w:b w:val="0"/>
          <w:color w:val="000000" w:themeColor="text1"/>
          <w:sz w:val="24"/>
          <w:szCs w:val="24"/>
        </w:rPr>
        <w:t>单项认定其他应收款坏账准备影响。其具体情况如下：</w:t>
      </w:r>
    </w:p>
    <w:p w:rsidR="00A35D1A" w:rsidRPr="00EA612D" w:rsidRDefault="00A35D1A" w:rsidP="00A35D1A">
      <w:pPr>
        <w:jc w:val="right"/>
        <w:rPr>
          <w:rStyle w:val="a5"/>
          <w:rFonts w:ascii="Times New Roman" w:hAnsi="Times New Roman" w:cs="Times New Roman"/>
          <w:b w:val="0"/>
          <w:color w:val="000000" w:themeColor="text1"/>
          <w:szCs w:val="21"/>
        </w:rPr>
      </w:pPr>
      <w:r w:rsidRPr="00EA612D">
        <w:rPr>
          <w:rStyle w:val="a5"/>
          <w:rFonts w:ascii="Times New Roman" w:hAnsi="Times New Roman" w:cs="Times New Roman"/>
          <w:b w:val="0"/>
          <w:color w:val="000000" w:themeColor="text1"/>
          <w:szCs w:val="21"/>
        </w:rPr>
        <w:t>单位：人民币万元</w:t>
      </w:r>
    </w:p>
    <w:tbl>
      <w:tblPr>
        <w:tblW w:w="5000" w:type="pct"/>
        <w:tblBorders>
          <w:top w:val="single" w:sz="12" w:space="0" w:color="auto"/>
          <w:bottom w:val="single" w:sz="12" w:space="0" w:color="auto"/>
          <w:insideH w:val="dotted" w:sz="4" w:space="0" w:color="auto"/>
          <w:insideV w:val="dotted" w:sz="4" w:space="0" w:color="auto"/>
        </w:tblBorders>
        <w:tblLook w:val="04A0" w:firstRow="1" w:lastRow="0" w:firstColumn="1" w:lastColumn="0" w:noHBand="0" w:noVBand="1"/>
      </w:tblPr>
      <w:tblGrid>
        <w:gridCol w:w="1515"/>
        <w:gridCol w:w="827"/>
        <w:gridCol w:w="1118"/>
        <w:gridCol w:w="1164"/>
        <w:gridCol w:w="1750"/>
        <w:gridCol w:w="1166"/>
        <w:gridCol w:w="982"/>
      </w:tblGrid>
      <w:tr w:rsidR="00835FFC" w:rsidRPr="00EA612D" w:rsidTr="00A35D1A">
        <w:trPr>
          <w:trHeight w:val="270"/>
        </w:trPr>
        <w:tc>
          <w:tcPr>
            <w:tcW w:w="889" w:type="pct"/>
            <w:vMerge w:val="restart"/>
            <w:shd w:val="clear" w:color="auto" w:fill="auto"/>
            <w:vAlign w:val="center"/>
            <w:hideMark/>
          </w:tcPr>
          <w:p w:rsidR="00A35D1A" w:rsidRPr="00EA612D" w:rsidRDefault="00A35D1A" w:rsidP="00A35D1A">
            <w:pPr>
              <w:snapToGrid w:val="0"/>
              <w:spacing w:line="200" w:lineRule="atLeast"/>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客户名称</w:t>
            </w:r>
          </w:p>
        </w:tc>
        <w:tc>
          <w:tcPr>
            <w:tcW w:w="485" w:type="pct"/>
            <w:vMerge w:val="restart"/>
            <w:vAlign w:val="center"/>
          </w:tcPr>
          <w:p w:rsidR="00A35D1A" w:rsidRPr="00EA612D" w:rsidRDefault="00A35D1A" w:rsidP="00A35D1A">
            <w:pPr>
              <w:snapToGrid w:val="0"/>
              <w:spacing w:line="200" w:lineRule="atLeast"/>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原因</w:t>
            </w:r>
          </w:p>
        </w:tc>
        <w:tc>
          <w:tcPr>
            <w:tcW w:w="656" w:type="pct"/>
            <w:vMerge w:val="restart"/>
            <w:vAlign w:val="center"/>
          </w:tcPr>
          <w:p w:rsidR="00A35D1A" w:rsidRPr="00EA612D" w:rsidRDefault="00A35D1A" w:rsidP="00A35D1A">
            <w:pPr>
              <w:snapToGrid w:val="0"/>
              <w:spacing w:line="200" w:lineRule="atLeast"/>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2016</w:t>
            </w:r>
            <w:r w:rsidRPr="00EA612D">
              <w:rPr>
                <w:rFonts w:ascii="Times New Roman" w:hAnsi="Times New Roman" w:cs="Times New Roman"/>
                <w:color w:val="000000" w:themeColor="text1"/>
                <w:sz w:val="16"/>
                <w:szCs w:val="16"/>
              </w:rPr>
              <w:t>年当期计提金额</w:t>
            </w:r>
          </w:p>
        </w:tc>
        <w:tc>
          <w:tcPr>
            <w:tcW w:w="2970" w:type="pct"/>
            <w:gridSpan w:val="4"/>
            <w:shd w:val="clear" w:color="auto" w:fill="auto"/>
            <w:vAlign w:val="center"/>
            <w:hideMark/>
          </w:tcPr>
          <w:p w:rsidR="00A35D1A" w:rsidRPr="00EA612D" w:rsidRDefault="00A35D1A" w:rsidP="00A35D1A">
            <w:pPr>
              <w:snapToGrid w:val="0"/>
              <w:spacing w:line="200" w:lineRule="atLeast"/>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期末</w:t>
            </w:r>
          </w:p>
        </w:tc>
      </w:tr>
      <w:tr w:rsidR="00835FFC" w:rsidRPr="00EA612D" w:rsidTr="00A35D1A">
        <w:trPr>
          <w:trHeight w:val="510"/>
        </w:trPr>
        <w:tc>
          <w:tcPr>
            <w:tcW w:w="889" w:type="pct"/>
            <w:vMerge/>
            <w:vAlign w:val="center"/>
            <w:hideMark/>
          </w:tcPr>
          <w:p w:rsidR="00A35D1A" w:rsidRPr="00EA612D" w:rsidRDefault="00A35D1A" w:rsidP="00A35D1A">
            <w:pPr>
              <w:snapToGrid w:val="0"/>
              <w:spacing w:line="200" w:lineRule="atLeast"/>
              <w:jc w:val="center"/>
              <w:rPr>
                <w:rFonts w:ascii="Times New Roman" w:hAnsi="Times New Roman" w:cs="Times New Roman"/>
                <w:color w:val="000000" w:themeColor="text1"/>
                <w:sz w:val="16"/>
                <w:szCs w:val="16"/>
              </w:rPr>
            </w:pPr>
          </w:p>
        </w:tc>
        <w:tc>
          <w:tcPr>
            <w:tcW w:w="485" w:type="pct"/>
            <w:vMerge/>
          </w:tcPr>
          <w:p w:rsidR="00A35D1A" w:rsidRPr="00EA612D" w:rsidRDefault="00A35D1A" w:rsidP="00A35D1A">
            <w:pPr>
              <w:snapToGrid w:val="0"/>
              <w:spacing w:line="200" w:lineRule="atLeast"/>
              <w:jc w:val="center"/>
              <w:rPr>
                <w:rFonts w:ascii="Times New Roman" w:hAnsi="Times New Roman" w:cs="Times New Roman"/>
                <w:color w:val="000000" w:themeColor="text1"/>
                <w:sz w:val="16"/>
                <w:szCs w:val="16"/>
              </w:rPr>
            </w:pPr>
          </w:p>
        </w:tc>
        <w:tc>
          <w:tcPr>
            <w:tcW w:w="656" w:type="pct"/>
            <w:vMerge/>
          </w:tcPr>
          <w:p w:rsidR="00A35D1A" w:rsidRPr="00EA612D" w:rsidRDefault="00A35D1A" w:rsidP="00A35D1A">
            <w:pPr>
              <w:snapToGrid w:val="0"/>
              <w:spacing w:line="200" w:lineRule="atLeast"/>
              <w:jc w:val="center"/>
              <w:rPr>
                <w:rFonts w:ascii="Times New Roman" w:hAnsi="Times New Roman" w:cs="Times New Roman"/>
                <w:color w:val="000000" w:themeColor="text1"/>
                <w:sz w:val="16"/>
                <w:szCs w:val="16"/>
              </w:rPr>
            </w:pPr>
          </w:p>
        </w:tc>
        <w:tc>
          <w:tcPr>
            <w:tcW w:w="683" w:type="pct"/>
            <w:shd w:val="clear" w:color="auto" w:fill="auto"/>
            <w:vAlign w:val="center"/>
            <w:hideMark/>
          </w:tcPr>
          <w:p w:rsidR="00A35D1A" w:rsidRPr="00EA612D" w:rsidRDefault="00A35D1A" w:rsidP="00A35D1A">
            <w:pPr>
              <w:snapToGrid w:val="0"/>
              <w:spacing w:line="200" w:lineRule="atLeast"/>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账款余额</w:t>
            </w:r>
          </w:p>
        </w:tc>
        <w:tc>
          <w:tcPr>
            <w:tcW w:w="1027" w:type="pct"/>
            <w:shd w:val="clear" w:color="auto" w:fill="auto"/>
            <w:vAlign w:val="center"/>
          </w:tcPr>
          <w:p w:rsidR="00A35D1A" w:rsidRPr="00EA612D" w:rsidRDefault="00A35D1A" w:rsidP="00A35D1A">
            <w:pPr>
              <w:snapToGrid w:val="0"/>
              <w:spacing w:line="200" w:lineRule="atLeast"/>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账龄</w:t>
            </w:r>
          </w:p>
        </w:tc>
        <w:tc>
          <w:tcPr>
            <w:tcW w:w="684" w:type="pct"/>
            <w:shd w:val="clear" w:color="auto" w:fill="auto"/>
            <w:vAlign w:val="center"/>
            <w:hideMark/>
          </w:tcPr>
          <w:p w:rsidR="00A35D1A" w:rsidRPr="00EA612D" w:rsidRDefault="00A35D1A" w:rsidP="00A35D1A">
            <w:pPr>
              <w:snapToGrid w:val="0"/>
              <w:spacing w:line="200" w:lineRule="atLeast"/>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坏账准备</w:t>
            </w:r>
          </w:p>
        </w:tc>
        <w:tc>
          <w:tcPr>
            <w:tcW w:w="575" w:type="pct"/>
            <w:vAlign w:val="center"/>
          </w:tcPr>
          <w:p w:rsidR="00A35D1A" w:rsidRPr="00EA612D" w:rsidRDefault="00A35D1A" w:rsidP="00A35D1A">
            <w:pPr>
              <w:snapToGrid w:val="0"/>
              <w:spacing w:line="200" w:lineRule="atLeast"/>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坏账计提比例（</w:t>
            </w:r>
            <w:r w:rsidRPr="00EA612D">
              <w:rPr>
                <w:rFonts w:ascii="Times New Roman" w:hAnsi="Times New Roman" w:cs="Times New Roman"/>
                <w:color w:val="000000" w:themeColor="text1"/>
                <w:sz w:val="16"/>
                <w:szCs w:val="16"/>
              </w:rPr>
              <w:t>%</w:t>
            </w:r>
            <w:r w:rsidRPr="00EA612D">
              <w:rPr>
                <w:rFonts w:ascii="Times New Roman" w:hAnsi="Times New Roman" w:cs="Times New Roman"/>
                <w:color w:val="000000" w:themeColor="text1"/>
                <w:sz w:val="16"/>
                <w:szCs w:val="16"/>
              </w:rPr>
              <w:t>）</w:t>
            </w:r>
          </w:p>
        </w:tc>
      </w:tr>
      <w:tr w:rsidR="00835FFC" w:rsidRPr="00EA612D" w:rsidTr="00A35D1A">
        <w:trPr>
          <w:trHeight w:val="510"/>
        </w:trPr>
        <w:tc>
          <w:tcPr>
            <w:tcW w:w="889" w:type="pct"/>
            <w:vAlign w:val="center"/>
          </w:tcPr>
          <w:p w:rsidR="00A35D1A" w:rsidRPr="00EA612D" w:rsidRDefault="00A35D1A" w:rsidP="00A35D1A">
            <w:pPr>
              <w:adjustRightInd w:val="0"/>
              <w:snapToGrid w:val="0"/>
              <w:spacing w:line="200" w:lineRule="atLeas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5</w:t>
            </w:r>
            <w:r w:rsidRPr="00EA612D">
              <w:rPr>
                <w:rFonts w:ascii="Times New Roman" w:eastAsia="宋体" w:hAnsi="Times New Roman" w:cs="Times New Roman"/>
                <w:color w:val="000000" w:themeColor="text1"/>
                <w:sz w:val="16"/>
                <w:szCs w:val="16"/>
              </w:rPr>
              <w:t>年以上款项</w:t>
            </w:r>
          </w:p>
        </w:tc>
        <w:tc>
          <w:tcPr>
            <w:tcW w:w="485" w:type="pct"/>
            <w:vAlign w:val="center"/>
          </w:tcPr>
          <w:p w:rsidR="00A35D1A" w:rsidRPr="00EA612D" w:rsidRDefault="00A35D1A" w:rsidP="00A35D1A">
            <w:pPr>
              <w:jc w:val="center"/>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注</w:t>
            </w:r>
            <w:r w:rsidRPr="00EA612D">
              <w:rPr>
                <w:rFonts w:ascii="宋体" w:eastAsia="宋体" w:hAnsi="宋体" w:cs="宋体" w:hint="eastAsia"/>
                <w:color w:val="000000" w:themeColor="text1"/>
                <w:sz w:val="16"/>
                <w:szCs w:val="16"/>
              </w:rPr>
              <w:t>①</w:t>
            </w:r>
            <w:r w:rsidRPr="00EA612D">
              <w:rPr>
                <w:rFonts w:ascii="Times New Roman" w:eastAsia="宋体" w:hAnsi="Times New Roman" w:cs="Times New Roman"/>
                <w:color w:val="000000" w:themeColor="text1"/>
                <w:sz w:val="16"/>
                <w:szCs w:val="16"/>
              </w:rPr>
              <w:t xml:space="preserve"> </w:t>
            </w:r>
          </w:p>
        </w:tc>
        <w:tc>
          <w:tcPr>
            <w:tcW w:w="656" w:type="pct"/>
            <w:vAlign w:val="center"/>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78.61</w:t>
            </w:r>
          </w:p>
        </w:tc>
        <w:tc>
          <w:tcPr>
            <w:tcW w:w="683" w:type="pct"/>
            <w:shd w:val="clear" w:color="auto" w:fill="auto"/>
            <w:vAlign w:val="center"/>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6,331.50</w:t>
            </w:r>
          </w:p>
        </w:tc>
        <w:tc>
          <w:tcPr>
            <w:tcW w:w="1027" w:type="pct"/>
            <w:shd w:val="clear" w:color="auto" w:fill="auto"/>
            <w:vAlign w:val="center"/>
          </w:tcPr>
          <w:p w:rsidR="00A35D1A" w:rsidRPr="00EA612D" w:rsidRDefault="00A35D1A" w:rsidP="00A35D1A">
            <w:pPr>
              <w:adjustRightInd w:val="0"/>
              <w:snapToGrid w:val="0"/>
              <w:spacing w:line="200" w:lineRule="atLeast"/>
              <w:jc w:val="center"/>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5</w:t>
            </w:r>
            <w:r w:rsidRPr="00EA612D">
              <w:rPr>
                <w:rFonts w:ascii="Times New Roman" w:eastAsia="宋体" w:hAnsi="Times New Roman" w:cs="Times New Roman"/>
                <w:color w:val="000000" w:themeColor="text1"/>
                <w:sz w:val="16"/>
                <w:szCs w:val="16"/>
              </w:rPr>
              <w:t>年上</w:t>
            </w:r>
          </w:p>
        </w:tc>
        <w:tc>
          <w:tcPr>
            <w:tcW w:w="684" w:type="pct"/>
            <w:shd w:val="clear" w:color="auto" w:fill="auto"/>
            <w:vAlign w:val="center"/>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6,331.50</w:t>
            </w:r>
          </w:p>
        </w:tc>
        <w:tc>
          <w:tcPr>
            <w:tcW w:w="575" w:type="pct"/>
            <w:vAlign w:val="center"/>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100.00</w:t>
            </w:r>
          </w:p>
        </w:tc>
      </w:tr>
      <w:tr w:rsidR="00835FFC" w:rsidRPr="00EA612D" w:rsidTr="00A35D1A">
        <w:trPr>
          <w:trHeight w:val="338"/>
        </w:trPr>
        <w:tc>
          <w:tcPr>
            <w:tcW w:w="889" w:type="pct"/>
            <w:vAlign w:val="center"/>
            <w:hideMark/>
          </w:tcPr>
          <w:p w:rsidR="00A35D1A" w:rsidRPr="00EA612D" w:rsidRDefault="00A35D1A" w:rsidP="00A35D1A">
            <w:pPr>
              <w:adjustRightInd w:val="0"/>
              <w:snapToGrid w:val="0"/>
              <w:spacing w:line="200" w:lineRule="atLeas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电信交换与软件支援系统国家工程研究中心</w:t>
            </w:r>
          </w:p>
        </w:tc>
        <w:tc>
          <w:tcPr>
            <w:tcW w:w="485" w:type="pct"/>
            <w:vAlign w:val="center"/>
          </w:tcPr>
          <w:p w:rsidR="00A35D1A" w:rsidRPr="00EA612D" w:rsidRDefault="00A35D1A" w:rsidP="00A35D1A">
            <w:pPr>
              <w:jc w:val="center"/>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注</w:t>
            </w:r>
            <w:r w:rsidRPr="00EA612D">
              <w:rPr>
                <w:rFonts w:ascii="宋体" w:eastAsia="宋体" w:hAnsi="宋体" w:cs="宋体" w:hint="eastAsia"/>
                <w:color w:val="000000" w:themeColor="text1"/>
                <w:sz w:val="16"/>
                <w:szCs w:val="16"/>
              </w:rPr>
              <w:t>②</w:t>
            </w:r>
          </w:p>
        </w:tc>
        <w:tc>
          <w:tcPr>
            <w:tcW w:w="656" w:type="pct"/>
            <w:vAlign w:val="center"/>
          </w:tcPr>
          <w:p w:rsidR="00A35D1A" w:rsidRPr="00EA612D" w:rsidRDefault="00CD5DF6" w:rsidP="00A35D1A">
            <w:pPr>
              <w:jc w:val="right"/>
              <w:rPr>
                <w:rFonts w:ascii="Times New Roman" w:eastAsia="宋体" w:hAnsi="Times New Roman" w:cs="Times New Roman"/>
                <w:color w:val="000000" w:themeColor="text1"/>
                <w:sz w:val="16"/>
                <w:szCs w:val="16"/>
              </w:rPr>
            </w:pPr>
            <w:r w:rsidRPr="00EA612D">
              <w:rPr>
                <w:rFonts w:ascii="Times New Roman" w:hAnsi="Times New Roman" w:cs="Times New Roman"/>
                <w:color w:val="000000" w:themeColor="text1"/>
                <w:sz w:val="16"/>
                <w:szCs w:val="16"/>
              </w:rPr>
              <w:t>596.23</w:t>
            </w:r>
          </w:p>
        </w:tc>
        <w:tc>
          <w:tcPr>
            <w:tcW w:w="683" w:type="pct"/>
            <w:shd w:val="clear" w:color="auto" w:fill="auto"/>
            <w:vAlign w:val="center"/>
            <w:hideMark/>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1,864.16</w:t>
            </w:r>
          </w:p>
        </w:tc>
        <w:tc>
          <w:tcPr>
            <w:tcW w:w="1027" w:type="pct"/>
            <w:shd w:val="clear" w:color="auto" w:fill="auto"/>
            <w:vAlign w:val="center"/>
          </w:tcPr>
          <w:p w:rsidR="00CD5DF6" w:rsidRPr="00EA612D" w:rsidRDefault="00A35D1A" w:rsidP="00CD5DF6">
            <w:pPr>
              <w:jc w:val="center"/>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1-2</w:t>
            </w:r>
            <w:r w:rsidRPr="00EA612D">
              <w:rPr>
                <w:rFonts w:ascii="Times New Roman" w:eastAsia="宋体" w:hAnsi="Times New Roman" w:cs="Times New Roman" w:hint="eastAsia"/>
                <w:color w:val="000000" w:themeColor="text1"/>
                <w:sz w:val="16"/>
                <w:szCs w:val="16"/>
              </w:rPr>
              <w:t>年</w:t>
            </w:r>
            <w:r w:rsidRPr="00EA612D">
              <w:rPr>
                <w:rFonts w:ascii="Times New Roman" w:eastAsia="宋体" w:hAnsi="Times New Roman" w:cs="Times New Roman"/>
                <w:color w:val="000000" w:themeColor="text1"/>
                <w:sz w:val="16"/>
                <w:szCs w:val="16"/>
              </w:rPr>
              <w:t>486.20</w:t>
            </w:r>
            <w:r w:rsidRPr="00EA612D">
              <w:rPr>
                <w:rFonts w:ascii="Times New Roman" w:eastAsia="宋体" w:hAnsi="Times New Roman" w:cs="Times New Roman" w:hint="eastAsia"/>
                <w:color w:val="000000" w:themeColor="text1"/>
                <w:sz w:val="16"/>
                <w:szCs w:val="16"/>
              </w:rPr>
              <w:t>万元</w:t>
            </w:r>
            <w:r w:rsidRPr="00EA612D">
              <w:rPr>
                <w:rFonts w:ascii="Times New Roman" w:eastAsia="宋体" w:hAnsi="Times New Roman" w:cs="Times New Roman"/>
                <w:color w:val="000000" w:themeColor="text1"/>
                <w:sz w:val="16"/>
                <w:szCs w:val="16"/>
              </w:rPr>
              <w:t>;</w:t>
            </w:r>
          </w:p>
          <w:p w:rsidR="00A35D1A" w:rsidRPr="00EA612D" w:rsidRDefault="00A35D1A" w:rsidP="00CD5DF6">
            <w:pPr>
              <w:jc w:val="center"/>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 xml:space="preserve"> </w:t>
            </w:r>
            <w:r w:rsidR="00CD5DF6" w:rsidRPr="00EA612D">
              <w:rPr>
                <w:rFonts w:ascii="Times New Roman" w:eastAsia="宋体" w:hAnsi="Times New Roman" w:cs="Times New Roman"/>
                <w:color w:val="000000" w:themeColor="text1"/>
                <w:sz w:val="16"/>
                <w:szCs w:val="16"/>
              </w:rPr>
              <w:t>4-5</w:t>
            </w:r>
            <w:r w:rsidR="00CD5DF6" w:rsidRPr="00EA612D">
              <w:rPr>
                <w:rFonts w:ascii="Times New Roman" w:eastAsia="宋体" w:hAnsi="Times New Roman" w:cs="Times New Roman" w:hint="eastAsia"/>
                <w:color w:val="000000" w:themeColor="text1"/>
                <w:sz w:val="16"/>
                <w:szCs w:val="16"/>
              </w:rPr>
              <w:t>年</w:t>
            </w:r>
            <w:r w:rsidR="00CD5DF6" w:rsidRPr="00EA612D">
              <w:rPr>
                <w:rFonts w:ascii="Times New Roman" w:eastAsia="宋体" w:hAnsi="Times New Roman" w:cs="Times New Roman"/>
                <w:color w:val="000000" w:themeColor="text1"/>
                <w:sz w:val="16"/>
                <w:szCs w:val="16"/>
              </w:rPr>
              <w:t>160.65</w:t>
            </w:r>
            <w:r w:rsidR="00CD5DF6" w:rsidRPr="00EA612D">
              <w:rPr>
                <w:rFonts w:ascii="Times New Roman" w:eastAsia="宋体" w:hAnsi="Times New Roman" w:cs="Times New Roman" w:hint="eastAsia"/>
                <w:color w:val="000000" w:themeColor="text1"/>
                <w:sz w:val="16"/>
                <w:szCs w:val="16"/>
              </w:rPr>
              <w:t>万元</w:t>
            </w:r>
            <w:r w:rsidR="00CD5DF6" w:rsidRPr="00EA612D">
              <w:rPr>
                <w:rFonts w:ascii="Times New Roman" w:eastAsia="宋体" w:hAnsi="Times New Roman" w:cs="Times New Roman"/>
                <w:color w:val="000000" w:themeColor="text1"/>
                <w:sz w:val="16"/>
                <w:szCs w:val="16"/>
              </w:rPr>
              <w:t>;</w:t>
            </w:r>
          </w:p>
          <w:p w:rsidR="00A35D1A" w:rsidRPr="00EA612D" w:rsidRDefault="00A35D1A" w:rsidP="00D34E51">
            <w:pPr>
              <w:jc w:val="center"/>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5</w:t>
            </w:r>
            <w:r w:rsidRPr="00EA612D">
              <w:rPr>
                <w:rFonts w:ascii="Times New Roman" w:eastAsia="宋体" w:hAnsi="Times New Roman" w:cs="Times New Roman" w:hint="eastAsia"/>
                <w:color w:val="000000" w:themeColor="text1"/>
                <w:sz w:val="16"/>
                <w:szCs w:val="16"/>
              </w:rPr>
              <w:t>年以上</w:t>
            </w:r>
            <w:r w:rsidRPr="00EA612D">
              <w:rPr>
                <w:rFonts w:ascii="Times New Roman" w:eastAsia="宋体" w:hAnsi="Times New Roman" w:cs="Times New Roman"/>
                <w:color w:val="000000" w:themeColor="text1"/>
                <w:sz w:val="16"/>
                <w:szCs w:val="16"/>
              </w:rPr>
              <w:t>1,</w:t>
            </w:r>
            <w:r w:rsidR="00D34E51" w:rsidRPr="00EA612D">
              <w:rPr>
                <w:rFonts w:ascii="Times New Roman" w:eastAsia="宋体" w:hAnsi="Times New Roman" w:cs="Times New Roman"/>
                <w:color w:val="000000" w:themeColor="text1"/>
                <w:sz w:val="16"/>
                <w:szCs w:val="16"/>
              </w:rPr>
              <w:t>217.31</w:t>
            </w:r>
            <w:r w:rsidRPr="00EA612D">
              <w:rPr>
                <w:rFonts w:ascii="Times New Roman" w:eastAsia="宋体" w:hAnsi="Times New Roman" w:cs="Times New Roman" w:hint="eastAsia"/>
                <w:color w:val="000000" w:themeColor="text1"/>
                <w:sz w:val="16"/>
                <w:szCs w:val="16"/>
              </w:rPr>
              <w:t>万元</w:t>
            </w:r>
          </w:p>
        </w:tc>
        <w:tc>
          <w:tcPr>
            <w:tcW w:w="684" w:type="pct"/>
            <w:shd w:val="clear" w:color="auto" w:fill="auto"/>
            <w:vAlign w:val="center"/>
            <w:hideMark/>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1,864.16</w:t>
            </w:r>
          </w:p>
        </w:tc>
        <w:tc>
          <w:tcPr>
            <w:tcW w:w="575" w:type="pct"/>
            <w:vAlign w:val="center"/>
          </w:tcPr>
          <w:p w:rsidR="00A35D1A" w:rsidRPr="00EA612D" w:rsidRDefault="00A35D1A" w:rsidP="00A35D1A">
            <w:pPr>
              <w:jc w:val="right"/>
              <w:rPr>
                <w:rFonts w:ascii="Times New Roman" w:eastAsia="宋体" w:hAnsi="Times New Roman" w:cs="Times New Roman"/>
                <w:color w:val="000000" w:themeColor="text1"/>
                <w:sz w:val="16"/>
                <w:szCs w:val="16"/>
              </w:rPr>
            </w:pPr>
            <w:r w:rsidRPr="00EA612D">
              <w:rPr>
                <w:rFonts w:ascii="Times New Roman" w:hAnsi="Times New Roman" w:cs="Times New Roman"/>
                <w:color w:val="000000" w:themeColor="text1"/>
                <w:sz w:val="16"/>
                <w:szCs w:val="16"/>
              </w:rPr>
              <w:t>100.00</w:t>
            </w:r>
          </w:p>
        </w:tc>
      </w:tr>
      <w:tr w:rsidR="00835FFC" w:rsidRPr="00EA612D" w:rsidTr="00A35D1A">
        <w:trPr>
          <w:trHeight w:val="279"/>
        </w:trPr>
        <w:tc>
          <w:tcPr>
            <w:tcW w:w="889" w:type="pct"/>
            <w:shd w:val="clear" w:color="auto" w:fill="auto"/>
            <w:vAlign w:val="bottom"/>
            <w:hideMark/>
          </w:tcPr>
          <w:p w:rsidR="00A35D1A" w:rsidRPr="00EA612D" w:rsidRDefault="00A35D1A" w:rsidP="00A35D1A">
            <w:pP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合计</w:t>
            </w:r>
          </w:p>
        </w:tc>
        <w:tc>
          <w:tcPr>
            <w:tcW w:w="485" w:type="pct"/>
            <w:vAlign w:val="center"/>
          </w:tcPr>
          <w:p w:rsidR="00A35D1A" w:rsidRPr="00EA612D" w:rsidRDefault="00A35D1A" w:rsidP="00A35D1A">
            <w:pPr>
              <w:jc w:val="center"/>
              <w:rPr>
                <w:rFonts w:ascii="Times New Roman" w:hAnsi="Times New Roman" w:cs="Times New Roman"/>
                <w:color w:val="000000" w:themeColor="text1"/>
                <w:sz w:val="16"/>
                <w:szCs w:val="16"/>
              </w:rPr>
            </w:pPr>
          </w:p>
        </w:tc>
        <w:tc>
          <w:tcPr>
            <w:tcW w:w="656" w:type="pct"/>
            <w:vAlign w:val="center"/>
          </w:tcPr>
          <w:p w:rsidR="00A35D1A" w:rsidRPr="00EA612D" w:rsidRDefault="00CD5DF6" w:rsidP="00A35D1A">
            <w:pPr>
              <w:jc w:val="right"/>
              <w:rPr>
                <w:rFonts w:ascii="Times New Roman" w:eastAsia="宋体" w:hAnsi="Times New Roman" w:cs="Times New Roman"/>
                <w:color w:val="000000" w:themeColor="text1"/>
                <w:sz w:val="16"/>
                <w:szCs w:val="16"/>
              </w:rPr>
            </w:pPr>
            <w:r w:rsidRPr="00EA612D">
              <w:rPr>
                <w:rFonts w:ascii="Times New Roman" w:hAnsi="Times New Roman" w:cs="Times New Roman"/>
                <w:color w:val="000000" w:themeColor="text1"/>
                <w:sz w:val="16"/>
                <w:szCs w:val="16"/>
              </w:rPr>
              <w:t>674.84</w:t>
            </w:r>
          </w:p>
        </w:tc>
        <w:tc>
          <w:tcPr>
            <w:tcW w:w="683" w:type="pct"/>
            <w:shd w:val="clear" w:color="auto" w:fill="auto"/>
            <w:vAlign w:val="center"/>
            <w:hideMark/>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8,195.66</w:t>
            </w:r>
          </w:p>
        </w:tc>
        <w:tc>
          <w:tcPr>
            <w:tcW w:w="1027" w:type="pct"/>
            <w:shd w:val="clear" w:color="auto" w:fill="auto"/>
            <w:vAlign w:val="center"/>
          </w:tcPr>
          <w:p w:rsidR="00A35D1A" w:rsidRPr="00EA612D" w:rsidRDefault="00A35D1A" w:rsidP="00A35D1A">
            <w:pPr>
              <w:jc w:val="right"/>
              <w:rPr>
                <w:rFonts w:ascii="Times New Roman" w:eastAsia="宋体" w:hAnsi="Times New Roman" w:cs="Times New Roman"/>
                <w:color w:val="000000" w:themeColor="text1"/>
                <w:sz w:val="16"/>
                <w:szCs w:val="16"/>
              </w:rPr>
            </w:pPr>
          </w:p>
        </w:tc>
        <w:tc>
          <w:tcPr>
            <w:tcW w:w="684" w:type="pct"/>
            <w:shd w:val="clear" w:color="auto" w:fill="auto"/>
            <w:vAlign w:val="center"/>
            <w:hideMark/>
          </w:tcPr>
          <w:p w:rsidR="00A35D1A" w:rsidRPr="00EA612D" w:rsidRDefault="00A35D1A" w:rsidP="00A35D1A">
            <w:pPr>
              <w:adjustRightInd w:val="0"/>
              <w:snapToGrid w:val="0"/>
              <w:spacing w:line="200" w:lineRule="atLeast"/>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8,195.66</w:t>
            </w:r>
          </w:p>
        </w:tc>
        <w:tc>
          <w:tcPr>
            <w:tcW w:w="575" w:type="pct"/>
            <w:vAlign w:val="center"/>
          </w:tcPr>
          <w:p w:rsidR="00A35D1A" w:rsidRPr="00EA612D" w:rsidRDefault="00A35D1A" w:rsidP="00A35D1A">
            <w:pPr>
              <w:jc w:val="right"/>
              <w:rPr>
                <w:rFonts w:ascii="Times New Roman" w:eastAsia="宋体" w:hAnsi="Times New Roman" w:cs="Times New Roman"/>
                <w:color w:val="000000" w:themeColor="text1"/>
                <w:sz w:val="16"/>
                <w:szCs w:val="16"/>
              </w:rPr>
            </w:pPr>
          </w:p>
        </w:tc>
      </w:tr>
    </w:tbl>
    <w:p w:rsidR="00A35D1A" w:rsidRPr="00EA612D" w:rsidRDefault="00A35D1A" w:rsidP="00F663C7">
      <w:pPr>
        <w:spacing w:beforeLines="50" w:before="156" w:afterLines="50" w:after="156" w:line="360" w:lineRule="auto"/>
        <w:ind w:leftChars="50" w:left="105" w:rightChars="50" w:right="105" w:firstLineChars="200" w:firstLine="480"/>
        <w:jc w:val="left"/>
        <w:rPr>
          <w:rStyle w:val="a5"/>
          <w:rFonts w:asciiTheme="minorEastAsia" w:hAnsiTheme="minorEastAsia" w:cs="Times New Roman"/>
          <w:b w:val="0"/>
          <w:color w:val="000000" w:themeColor="text1"/>
          <w:sz w:val="24"/>
          <w:szCs w:val="24"/>
        </w:rPr>
      </w:pPr>
      <w:r w:rsidRPr="00EA612D">
        <w:rPr>
          <w:rStyle w:val="a5"/>
          <w:rFonts w:asciiTheme="minorEastAsia" w:hAnsiTheme="minorEastAsia" w:cs="Times New Roman"/>
          <w:b w:val="0"/>
          <w:color w:val="000000" w:themeColor="text1"/>
          <w:sz w:val="24"/>
          <w:szCs w:val="24"/>
        </w:rPr>
        <w:t>注</w:t>
      </w:r>
      <w:r w:rsidRPr="00EA612D">
        <w:rPr>
          <w:rStyle w:val="a5"/>
          <w:rFonts w:asciiTheme="minorEastAsia" w:hAnsiTheme="minorEastAsia" w:cs="宋体" w:hint="eastAsia"/>
          <w:b w:val="0"/>
          <w:color w:val="000000" w:themeColor="text1"/>
          <w:sz w:val="24"/>
          <w:szCs w:val="24"/>
        </w:rPr>
        <w:t>①</w:t>
      </w:r>
      <w:r w:rsidRPr="00EA612D">
        <w:rPr>
          <w:rStyle w:val="a5"/>
          <w:rFonts w:asciiTheme="minorEastAsia" w:hAnsiTheme="minorEastAsia" w:cs="Times New Roman"/>
          <w:b w:val="0"/>
          <w:color w:val="000000" w:themeColor="text1"/>
          <w:sz w:val="24"/>
          <w:szCs w:val="24"/>
        </w:rPr>
        <w:t>：公司单项认定其他应收款主要</w:t>
      </w:r>
      <w:proofErr w:type="gramStart"/>
      <w:r w:rsidRPr="00EA612D">
        <w:rPr>
          <w:rStyle w:val="a5"/>
          <w:rFonts w:asciiTheme="minorEastAsia" w:hAnsiTheme="minorEastAsia" w:cs="Times New Roman"/>
          <w:b w:val="0"/>
          <w:color w:val="000000" w:themeColor="text1"/>
          <w:sz w:val="24"/>
          <w:szCs w:val="24"/>
        </w:rPr>
        <w:t>是受账龄</w:t>
      </w:r>
      <w:proofErr w:type="gramEnd"/>
      <w:r w:rsidRPr="00EA612D">
        <w:rPr>
          <w:rStyle w:val="a5"/>
          <w:rFonts w:asciiTheme="minorEastAsia" w:hAnsiTheme="minorEastAsia" w:cs="Times New Roman"/>
          <w:b w:val="0"/>
          <w:color w:val="000000" w:themeColor="text1"/>
          <w:sz w:val="24"/>
          <w:szCs w:val="24"/>
        </w:rPr>
        <w:t>影响，公司本期单项认定5年以上的其他应收款主要为公司账</w:t>
      </w:r>
      <w:proofErr w:type="gramStart"/>
      <w:r w:rsidRPr="00EA612D">
        <w:rPr>
          <w:rStyle w:val="a5"/>
          <w:rFonts w:asciiTheme="minorEastAsia" w:hAnsiTheme="minorEastAsia" w:cs="Times New Roman"/>
          <w:b w:val="0"/>
          <w:color w:val="000000" w:themeColor="text1"/>
          <w:sz w:val="24"/>
          <w:szCs w:val="24"/>
        </w:rPr>
        <w:t>龄达到</w:t>
      </w:r>
      <w:proofErr w:type="gramEnd"/>
      <w:r w:rsidRPr="00EA612D">
        <w:rPr>
          <w:rStyle w:val="a5"/>
          <w:rFonts w:asciiTheme="minorEastAsia" w:hAnsiTheme="minorEastAsia" w:cs="Times New Roman"/>
          <w:b w:val="0"/>
          <w:color w:val="000000" w:themeColor="text1"/>
          <w:sz w:val="24"/>
          <w:szCs w:val="24"/>
        </w:rPr>
        <w:t>5年以上的不良债权</w:t>
      </w:r>
      <w:r w:rsidR="00D50E42" w:rsidRPr="00EA612D">
        <w:rPr>
          <w:rStyle w:val="a5"/>
          <w:rFonts w:asciiTheme="minorEastAsia" w:hAnsiTheme="minorEastAsia" w:cs="Times New Roman" w:hint="eastAsia"/>
          <w:b w:val="0"/>
          <w:color w:val="000000" w:themeColor="text1"/>
          <w:sz w:val="24"/>
          <w:szCs w:val="24"/>
        </w:rPr>
        <w:t>，</w:t>
      </w:r>
      <w:r w:rsidRPr="00EA612D">
        <w:rPr>
          <w:rStyle w:val="a5"/>
          <w:rFonts w:asciiTheme="minorEastAsia" w:hAnsiTheme="minorEastAsia" w:cs="Times New Roman"/>
          <w:b w:val="0"/>
          <w:color w:val="000000" w:themeColor="text1"/>
          <w:sz w:val="24"/>
          <w:szCs w:val="24"/>
        </w:rPr>
        <w:t>在</w:t>
      </w:r>
      <w:r w:rsidR="00733FCF" w:rsidRPr="00EA612D">
        <w:rPr>
          <w:rStyle w:val="a5"/>
          <w:rFonts w:asciiTheme="minorEastAsia" w:hAnsiTheme="minorEastAsia" w:cs="Times New Roman"/>
          <w:b w:val="0"/>
          <w:color w:val="000000" w:themeColor="text1"/>
          <w:sz w:val="24"/>
          <w:szCs w:val="24"/>
        </w:rPr>
        <w:t>201</w:t>
      </w:r>
      <w:r w:rsidR="00733FCF" w:rsidRPr="00EA612D">
        <w:rPr>
          <w:rStyle w:val="a5"/>
          <w:rFonts w:asciiTheme="minorEastAsia" w:hAnsiTheme="minorEastAsia" w:cs="Times New Roman" w:hint="eastAsia"/>
          <w:b w:val="0"/>
          <w:color w:val="000000" w:themeColor="text1"/>
          <w:sz w:val="24"/>
          <w:szCs w:val="24"/>
        </w:rPr>
        <w:t>6</w:t>
      </w:r>
      <w:r w:rsidRPr="00EA612D">
        <w:rPr>
          <w:rStyle w:val="a5"/>
          <w:rFonts w:asciiTheme="minorEastAsia" w:hAnsiTheme="minorEastAsia" w:cs="Times New Roman"/>
          <w:b w:val="0"/>
          <w:color w:val="000000" w:themeColor="text1"/>
          <w:sz w:val="24"/>
          <w:szCs w:val="24"/>
        </w:rPr>
        <w:t>年末100%计提坏账准备</w:t>
      </w:r>
      <w:r w:rsidR="00733FCF" w:rsidRPr="00EA612D">
        <w:rPr>
          <w:rStyle w:val="a5"/>
          <w:rFonts w:asciiTheme="minorEastAsia" w:hAnsiTheme="minorEastAsia" w:cs="Times New Roman"/>
          <w:b w:val="0"/>
          <w:color w:val="000000" w:themeColor="text1"/>
          <w:sz w:val="24"/>
          <w:szCs w:val="24"/>
        </w:rPr>
        <w:t>6,331.50</w:t>
      </w:r>
      <w:r w:rsidRPr="00EA612D">
        <w:rPr>
          <w:rStyle w:val="a5"/>
          <w:rFonts w:asciiTheme="minorEastAsia" w:hAnsiTheme="minorEastAsia" w:cs="Times New Roman"/>
          <w:b w:val="0"/>
          <w:color w:val="000000" w:themeColor="text1"/>
          <w:sz w:val="24"/>
          <w:szCs w:val="24"/>
        </w:rPr>
        <w:t>万元，本期新增</w:t>
      </w:r>
      <w:r w:rsidR="00733FCF" w:rsidRPr="00EA612D">
        <w:rPr>
          <w:rStyle w:val="a5"/>
          <w:rFonts w:asciiTheme="minorEastAsia" w:hAnsiTheme="minorEastAsia" w:cs="Times New Roman" w:hint="eastAsia"/>
          <w:b w:val="0"/>
          <w:color w:val="000000" w:themeColor="text1"/>
          <w:sz w:val="24"/>
          <w:szCs w:val="24"/>
        </w:rPr>
        <w:t>计提</w:t>
      </w:r>
      <w:r w:rsidRPr="00EA612D">
        <w:rPr>
          <w:rStyle w:val="a5"/>
          <w:rFonts w:asciiTheme="minorEastAsia" w:hAnsiTheme="minorEastAsia" w:cs="Times New Roman"/>
          <w:b w:val="0"/>
          <w:color w:val="000000" w:themeColor="text1"/>
          <w:sz w:val="24"/>
          <w:szCs w:val="24"/>
        </w:rPr>
        <w:t>坏账准备78.61万元。</w:t>
      </w:r>
    </w:p>
    <w:p w:rsidR="00A35D1A" w:rsidRPr="00EA612D" w:rsidRDefault="00A35D1A" w:rsidP="00F663C7">
      <w:pPr>
        <w:pStyle w:val="a6"/>
        <w:numPr>
          <w:ilvl w:val="0"/>
          <w:numId w:val="23"/>
        </w:numPr>
        <w:spacing w:beforeLines="50" w:before="156" w:afterLines="50" w:after="156" w:line="360" w:lineRule="auto"/>
        <w:ind w:leftChars="50" w:left="105" w:rightChars="50" w:right="105" w:firstLineChars="0" w:firstLine="560"/>
        <w:jc w:val="left"/>
        <w:rPr>
          <w:rStyle w:val="a5"/>
          <w:rFonts w:asciiTheme="minorEastAsia" w:hAnsiTheme="minorEastAsia" w:cs="Times New Roman"/>
          <w:b w:val="0"/>
          <w:color w:val="000000" w:themeColor="text1"/>
          <w:sz w:val="24"/>
          <w:szCs w:val="24"/>
        </w:rPr>
      </w:pPr>
      <w:r w:rsidRPr="00EA612D">
        <w:rPr>
          <w:rStyle w:val="a5"/>
          <w:rFonts w:asciiTheme="minorEastAsia" w:hAnsiTheme="minorEastAsia" w:cs="Times New Roman"/>
          <w:b w:val="0"/>
          <w:color w:val="000000" w:themeColor="text1"/>
          <w:sz w:val="24"/>
          <w:szCs w:val="24"/>
        </w:rPr>
        <w:t>：公司之子公司西安大唐电信有限公司其他应收电信交换与软件支援系统国家工程研究中心1,864.16万元，</w:t>
      </w:r>
      <w:r w:rsidR="005847EB" w:rsidRPr="00EA612D">
        <w:rPr>
          <w:rStyle w:val="a5"/>
          <w:rFonts w:asciiTheme="minorEastAsia" w:hAnsiTheme="minorEastAsia" w:cs="Times New Roman" w:hint="eastAsia"/>
          <w:b w:val="0"/>
          <w:color w:val="000000" w:themeColor="text1"/>
          <w:sz w:val="24"/>
          <w:szCs w:val="24"/>
        </w:rPr>
        <w:t>目前该</w:t>
      </w:r>
      <w:r w:rsidR="00351766" w:rsidRPr="00EA612D">
        <w:rPr>
          <w:rStyle w:val="a5"/>
          <w:rFonts w:asciiTheme="minorEastAsia" w:hAnsiTheme="minorEastAsia" w:cs="Times New Roman"/>
          <w:b w:val="0"/>
          <w:color w:val="000000" w:themeColor="text1"/>
          <w:sz w:val="24"/>
          <w:szCs w:val="24"/>
        </w:rPr>
        <w:t>电信交换与软件支援系统国家工程研究中心</w:t>
      </w:r>
      <w:r w:rsidR="005847EB" w:rsidRPr="00EA612D">
        <w:rPr>
          <w:rStyle w:val="a5"/>
          <w:rFonts w:asciiTheme="minorEastAsia" w:hAnsiTheme="minorEastAsia" w:cs="Times New Roman" w:hint="eastAsia"/>
          <w:b w:val="0"/>
          <w:color w:val="000000" w:themeColor="text1"/>
          <w:sz w:val="24"/>
          <w:szCs w:val="24"/>
        </w:rPr>
        <w:t>已无资产</w:t>
      </w:r>
      <w:r w:rsidR="00CD5DF6" w:rsidRPr="00EA612D">
        <w:rPr>
          <w:rStyle w:val="a5"/>
          <w:rFonts w:asciiTheme="minorEastAsia" w:hAnsiTheme="minorEastAsia" w:cs="Times New Roman" w:hint="eastAsia"/>
          <w:b w:val="0"/>
          <w:color w:val="000000" w:themeColor="text1"/>
          <w:sz w:val="24"/>
          <w:szCs w:val="24"/>
        </w:rPr>
        <w:t>并</w:t>
      </w:r>
      <w:r w:rsidR="005847EB" w:rsidRPr="00EA612D">
        <w:rPr>
          <w:rStyle w:val="a5"/>
          <w:rFonts w:asciiTheme="minorEastAsia" w:hAnsiTheme="minorEastAsia" w:cs="Times New Roman" w:hint="eastAsia"/>
          <w:b w:val="0"/>
          <w:color w:val="000000" w:themeColor="text1"/>
          <w:sz w:val="24"/>
          <w:szCs w:val="24"/>
        </w:rPr>
        <w:t>停止运作，</w:t>
      </w:r>
      <w:r w:rsidRPr="00EA612D">
        <w:rPr>
          <w:rStyle w:val="a5"/>
          <w:rFonts w:asciiTheme="minorEastAsia" w:hAnsiTheme="minorEastAsia" w:cs="Times New Roman"/>
          <w:b w:val="0"/>
          <w:color w:val="000000" w:themeColor="text1"/>
          <w:sz w:val="24"/>
          <w:szCs w:val="24"/>
        </w:rPr>
        <w:t>2016</w:t>
      </w:r>
      <w:r w:rsidRPr="00EA612D">
        <w:rPr>
          <w:rStyle w:val="a5"/>
          <w:rFonts w:asciiTheme="minorEastAsia" w:hAnsiTheme="minorEastAsia" w:cs="Times New Roman" w:hint="eastAsia"/>
          <w:b w:val="0"/>
          <w:color w:val="000000" w:themeColor="text1"/>
          <w:sz w:val="24"/>
          <w:szCs w:val="24"/>
        </w:rPr>
        <w:t>年末公司预计此笔款项无法收回，按余额</w:t>
      </w:r>
      <w:r w:rsidRPr="00EA612D">
        <w:rPr>
          <w:rStyle w:val="a5"/>
          <w:rFonts w:asciiTheme="minorEastAsia" w:hAnsiTheme="minorEastAsia" w:cs="Times New Roman"/>
          <w:b w:val="0"/>
          <w:color w:val="000000" w:themeColor="text1"/>
          <w:sz w:val="24"/>
          <w:szCs w:val="24"/>
        </w:rPr>
        <w:t>100%</w:t>
      </w:r>
      <w:r w:rsidRPr="00EA612D">
        <w:rPr>
          <w:rStyle w:val="a5"/>
          <w:rFonts w:asciiTheme="minorEastAsia" w:hAnsiTheme="minorEastAsia" w:cs="Times New Roman" w:hint="eastAsia"/>
          <w:b w:val="0"/>
          <w:color w:val="000000" w:themeColor="text1"/>
          <w:sz w:val="24"/>
          <w:szCs w:val="24"/>
        </w:rPr>
        <w:t>全额计提坏账准备，本期新增坏账准备</w:t>
      </w:r>
      <w:r w:rsidR="00CD5DF6" w:rsidRPr="00EA612D">
        <w:rPr>
          <w:rStyle w:val="a5"/>
          <w:rFonts w:asciiTheme="minorEastAsia" w:hAnsiTheme="minorEastAsia" w:cs="Times New Roman"/>
          <w:b w:val="0"/>
          <w:color w:val="000000" w:themeColor="text1"/>
          <w:sz w:val="24"/>
          <w:szCs w:val="24"/>
        </w:rPr>
        <w:t>596.23</w:t>
      </w:r>
      <w:r w:rsidRPr="00EA612D">
        <w:rPr>
          <w:rStyle w:val="a5"/>
          <w:rFonts w:asciiTheme="minorEastAsia" w:hAnsiTheme="minorEastAsia" w:cs="Times New Roman" w:hint="eastAsia"/>
          <w:b w:val="0"/>
          <w:color w:val="000000" w:themeColor="text1"/>
          <w:sz w:val="24"/>
          <w:szCs w:val="24"/>
        </w:rPr>
        <w:t>万元</w:t>
      </w:r>
      <w:r w:rsidRPr="00EA612D">
        <w:rPr>
          <w:rStyle w:val="a5"/>
          <w:rFonts w:asciiTheme="minorEastAsia" w:hAnsiTheme="minorEastAsia" w:cs="Times New Roman"/>
          <w:b w:val="0"/>
          <w:color w:val="000000" w:themeColor="text1"/>
          <w:sz w:val="24"/>
          <w:szCs w:val="24"/>
        </w:rPr>
        <w:t>。</w:t>
      </w:r>
    </w:p>
    <w:p w:rsidR="00A35D1A" w:rsidRPr="00EA612D" w:rsidRDefault="00A35D1A" w:rsidP="00F663C7">
      <w:pPr>
        <w:spacing w:beforeLines="50" w:before="156" w:afterLines="50" w:after="156" w:line="360" w:lineRule="auto"/>
        <w:ind w:leftChars="50" w:left="105" w:rightChars="50" w:right="105" w:firstLineChars="200" w:firstLine="482"/>
        <w:rPr>
          <w:rStyle w:val="a5"/>
          <w:rFonts w:asciiTheme="minorEastAsia" w:hAnsiTheme="minorEastAsia" w:cs="Times New Roman"/>
          <w:color w:val="000000" w:themeColor="text1"/>
          <w:sz w:val="24"/>
          <w:szCs w:val="24"/>
        </w:rPr>
      </w:pPr>
      <w:r w:rsidRPr="00EA612D">
        <w:rPr>
          <w:rStyle w:val="a5"/>
          <w:rFonts w:asciiTheme="minorEastAsia" w:hAnsiTheme="minorEastAsia" w:cs="Times New Roman"/>
          <w:color w:val="000000" w:themeColor="text1"/>
          <w:sz w:val="24"/>
          <w:szCs w:val="24"/>
        </w:rPr>
        <w:t>会计师意见：</w:t>
      </w:r>
    </w:p>
    <w:p w:rsidR="00A35D1A" w:rsidRPr="00EA612D" w:rsidRDefault="009417B2" w:rsidP="002765B3">
      <w:pPr>
        <w:spacing w:beforeLines="50" w:before="156" w:afterLines="50" w:after="156" w:line="360" w:lineRule="auto"/>
        <w:ind w:leftChars="50" w:left="105" w:rightChars="50" w:right="105" w:firstLineChars="200" w:firstLine="480"/>
        <w:jc w:val="left"/>
        <w:rPr>
          <w:rFonts w:asciiTheme="minorEastAsia" w:hAnsiTheme="minorEastAsia" w:cs="Times New Roman"/>
          <w:bCs/>
          <w:color w:val="000000" w:themeColor="text1"/>
          <w:sz w:val="24"/>
          <w:szCs w:val="24"/>
        </w:rPr>
      </w:pPr>
      <w:r w:rsidRPr="00EA612D">
        <w:rPr>
          <w:rStyle w:val="a5"/>
          <w:rFonts w:asciiTheme="minorEastAsia" w:hAnsiTheme="minorEastAsia" w:cs="Times New Roman" w:hint="eastAsia"/>
          <w:b w:val="0"/>
          <w:color w:val="000000" w:themeColor="text1"/>
          <w:sz w:val="24"/>
          <w:szCs w:val="24"/>
        </w:rPr>
        <w:t>我们获取了公司其他应收款坏账准备明细表，复核其账龄划分及计算准确性，并检查计提坏账准备是否符合公司披露的会计政策，本期有无发生变更，对采用单独计提法计提坏账准备的其他</w:t>
      </w:r>
      <w:proofErr w:type="gramStart"/>
      <w:r w:rsidRPr="00EA612D">
        <w:rPr>
          <w:rStyle w:val="a5"/>
          <w:rFonts w:asciiTheme="minorEastAsia" w:hAnsiTheme="minorEastAsia" w:cs="Times New Roman" w:hint="eastAsia"/>
          <w:b w:val="0"/>
          <w:color w:val="000000" w:themeColor="text1"/>
          <w:sz w:val="24"/>
          <w:szCs w:val="24"/>
        </w:rPr>
        <w:t>应收款复核计</w:t>
      </w:r>
      <w:proofErr w:type="gramEnd"/>
      <w:r w:rsidRPr="00EA612D">
        <w:rPr>
          <w:rStyle w:val="a5"/>
          <w:rFonts w:asciiTheme="minorEastAsia" w:hAnsiTheme="minorEastAsia" w:cs="Times New Roman" w:hint="eastAsia"/>
          <w:b w:val="0"/>
          <w:color w:val="000000" w:themeColor="text1"/>
          <w:sz w:val="24"/>
          <w:szCs w:val="24"/>
        </w:rPr>
        <w:t>提依据，评价公司坏账准备计提比例是否合理。我们认为：公司本期期末其他</w:t>
      </w:r>
      <w:proofErr w:type="gramStart"/>
      <w:r w:rsidRPr="00EA612D">
        <w:rPr>
          <w:rStyle w:val="a5"/>
          <w:rFonts w:asciiTheme="minorEastAsia" w:hAnsiTheme="minorEastAsia" w:cs="Times New Roman" w:hint="eastAsia"/>
          <w:b w:val="0"/>
          <w:color w:val="000000" w:themeColor="text1"/>
          <w:sz w:val="24"/>
          <w:szCs w:val="24"/>
        </w:rPr>
        <w:t>应收款账龄</w:t>
      </w:r>
      <w:proofErr w:type="gramEnd"/>
      <w:r w:rsidRPr="00EA612D">
        <w:rPr>
          <w:rStyle w:val="a5"/>
          <w:rFonts w:asciiTheme="minorEastAsia" w:hAnsiTheme="minorEastAsia" w:cs="Times New Roman" w:hint="eastAsia"/>
          <w:b w:val="0"/>
          <w:color w:val="000000" w:themeColor="text1"/>
          <w:sz w:val="24"/>
          <w:szCs w:val="24"/>
        </w:rPr>
        <w:t>划分准确，坏账准备计算准确，符合公司的实际情况及企业会计准则的规定。</w:t>
      </w:r>
    </w:p>
    <w:p w:rsidR="00A35D1A" w:rsidRPr="00EA612D" w:rsidRDefault="00A35D1A" w:rsidP="00F663C7">
      <w:pPr>
        <w:spacing w:beforeLines="50" w:before="156" w:afterLines="50" w:after="156" w:line="360" w:lineRule="auto"/>
        <w:ind w:leftChars="50" w:left="105" w:rightChars="50" w:right="105" w:firstLineChars="200" w:firstLine="482"/>
        <w:jc w:val="left"/>
        <w:rPr>
          <w:rFonts w:asciiTheme="minorEastAsia" w:hAnsiTheme="minorEastAsia" w:cs="Times New Roman"/>
          <w:b/>
          <w:color w:val="000000" w:themeColor="text1"/>
          <w:sz w:val="24"/>
          <w:szCs w:val="24"/>
        </w:rPr>
      </w:pPr>
      <w:r w:rsidRPr="00EA612D">
        <w:rPr>
          <w:rFonts w:asciiTheme="minorEastAsia" w:hAnsiTheme="minorEastAsia" w:cs="Times New Roman"/>
          <w:b/>
          <w:color w:val="000000" w:themeColor="text1"/>
          <w:sz w:val="24"/>
          <w:szCs w:val="24"/>
        </w:rPr>
        <w:t>4.存货跌价准备。年报披露，本期计提存货跌价准备2.88亿元，转回或转销存货跌价准备5643万元；2015年计提存货跌价准备6761万元。请结合相关存货发生的状态变化，补充披露本年计提及转回或转销的具体情况，2016年计提比例大幅高于以往年度的原因、依据及合理性。请会计师核查并发表意见。</w:t>
      </w:r>
    </w:p>
    <w:p w:rsidR="00A35D1A" w:rsidRPr="00EA612D" w:rsidRDefault="00A35D1A" w:rsidP="00F663C7">
      <w:pPr>
        <w:spacing w:beforeLines="50" w:before="156" w:afterLines="50" w:after="156" w:line="360" w:lineRule="auto"/>
        <w:ind w:leftChars="50" w:left="105" w:rightChars="50" w:right="105" w:firstLineChars="200" w:firstLine="482"/>
        <w:jc w:val="left"/>
        <w:rPr>
          <w:rFonts w:asciiTheme="minorEastAsia" w:hAnsiTheme="minorEastAsia" w:cs="Times New Roman"/>
          <w:b/>
          <w:color w:val="000000" w:themeColor="text1"/>
          <w:sz w:val="24"/>
          <w:szCs w:val="24"/>
        </w:rPr>
      </w:pPr>
      <w:r w:rsidRPr="00EA612D">
        <w:rPr>
          <w:rFonts w:asciiTheme="minorEastAsia" w:hAnsiTheme="minorEastAsia" w:cs="Times New Roman"/>
          <w:b/>
          <w:color w:val="000000" w:themeColor="text1"/>
          <w:sz w:val="24"/>
          <w:szCs w:val="24"/>
        </w:rPr>
        <w:t>公司回复：</w:t>
      </w:r>
    </w:p>
    <w:p w:rsidR="00A35D1A" w:rsidRPr="00EA612D" w:rsidRDefault="00F530DF" w:rsidP="00F663C7">
      <w:pPr>
        <w:spacing w:beforeLines="50" w:before="156" w:afterLines="50" w:after="156" w:line="360" w:lineRule="auto"/>
        <w:ind w:leftChars="50" w:left="105" w:rightChars="50" w:right="105" w:firstLineChars="200" w:firstLine="480"/>
        <w:jc w:val="left"/>
        <w:rPr>
          <w:rFonts w:asciiTheme="minorEastAsia" w:hAnsiTheme="minorEastAsia" w:cs="Times New Roman"/>
          <w:color w:val="000000" w:themeColor="text1"/>
          <w:sz w:val="24"/>
          <w:szCs w:val="24"/>
        </w:rPr>
      </w:pPr>
      <w:r w:rsidRPr="00EA612D">
        <w:rPr>
          <w:rFonts w:asciiTheme="minorEastAsia" w:hAnsiTheme="minorEastAsia" w:cs="Times New Roman" w:hint="eastAsia"/>
          <w:color w:val="000000" w:themeColor="text1"/>
          <w:sz w:val="24"/>
          <w:szCs w:val="24"/>
        </w:rPr>
        <w:t>（1）</w:t>
      </w:r>
      <w:r w:rsidR="00A35D1A" w:rsidRPr="00EA612D">
        <w:rPr>
          <w:rFonts w:asciiTheme="minorEastAsia" w:hAnsiTheme="minorEastAsia" w:cs="Times New Roman"/>
          <w:color w:val="000000" w:themeColor="text1"/>
          <w:sz w:val="24"/>
          <w:szCs w:val="24"/>
        </w:rPr>
        <w:t>结合相关存货发生的状态变化，补充披露本年计提及转回或转销的</w:t>
      </w:r>
      <w:r w:rsidR="00A35D1A" w:rsidRPr="00EA612D">
        <w:rPr>
          <w:rFonts w:asciiTheme="minorEastAsia" w:hAnsiTheme="minorEastAsia" w:cs="Times New Roman"/>
          <w:color w:val="000000" w:themeColor="text1"/>
          <w:sz w:val="24"/>
          <w:szCs w:val="24"/>
        </w:rPr>
        <w:lastRenderedPageBreak/>
        <w:t>具体情况</w:t>
      </w:r>
    </w:p>
    <w:p w:rsidR="00A35D1A" w:rsidRPr="00EA612D" w:rsidRDefault="00A35D1A" w:rsidP="00F663C7">
      <w:pPr>
        <w:spacing w:beforeLines="50" w:before="156" w:afterLines="50" w:after="156" w:line="360" w:lineRule="auto"/>
        <w:ind w:leftChars="50" w:left="105" w:rightChars="50" w:right="105" w:firstLineChars="200" w:firstLine="480"/>
        <w:rPr>
          <w:rFonts w:asciiTheme="minorEastAsia" w:hAnsiTheme="minorEastAsia" w:cs="Times New Roman"/>
          <w:color w:val="000000" w:themeColor="text1"/>
          <w:sz w:val="24"/>
          <w:szCs w:val="24"/>
        </w:rPr>
      </w:pPr>
      <w:r w:rsidRPr="00EA612D">
        <w:rPr>
          <w:rFonts w:asciiTheme="minorEastAsia" w:hAnsiTheme="minorEastAsia" w:cs="Times New Roman"/>
          <w:color w:val="000000" w:themeColor="text1"/>
          <w:sz w:val="24"/>
          <w:szCs w:val="24"/>
        </w:rPr>
        <w:t>截止2016年12月31日，公司存货跌价准备</w:t>
      </w:r>
      <w:r w:rsidR="00012F86" w:rsidRPr="00EA612D">
        <w:rPr>
          <w:rFonts w:asciiTheme="minorEastAsia" w:hAnsiTheme="minorEastAsia" w:cs="Times New Roman" w:hint="eastAsia"/>
          <w:color w:val="000000" w:themeColor="text1"/>
          <w:sz w:val="24"/>
          <w:szCs w:val="24"/>
        </w:rPr>
        <w:t>为</w:t>
      </w:r>
      <w:r w:rsidR="00012F86" w:rsidRPr="00EA612D">
        <w:rPr>
          <w:rFonts w:asciiTheme="minorEastAsia" w:hAnsiTheme="minorEastAsia" w:cs="Times New Roman"/>
          <w:color w:val="000000" w:themeColor="text1"/>
          <w:sz w:val="24"/>
          <w:szCs w:val="24"/>
        </w:rPr>
        <w:t>48,525.91</w:t>
      </w:r>
      <w:r w:rsidR="00012F86" w:rsidRPr="00EA612D">
        <w:rPr>
          <w:rFonts w:asciiTheme="minorEastAsia" w:hAnsiTheme="minorEastAsia" w:cs="Times New Roman" w:hint="eastAsia"/>
          <w:color w:val="000000" w:themeColor="text1"/>
          <w:sz w:val="24"/>
          <w:szCs w:val="24"/>
        </w:rPr>
        <w:t>万</w:t>
      </w:r>
      <w:r w:rsidRPr="00EA612D">
        <w:rPr>
          <w:rFonts w:asciiTheme="minorEastAsia" w:hAnsiTheme="minorEastAsia" w:cs="Times New Roman"/>
          <w:color w:val="000000" w:themeColor="text1"/>
          <w:sz w:val="24"/>
          <w:szCs w:val="24"/>
        </w:rPr>
        <w:t>元。本年计提及转回或转销存货跌价准备的情况如下表：</w:t>
      </w:r>
    </w:p>
    <w:p w:rsidR="00A35D1A" w:rsidRPr="00EA612D" w:rsidRDefault="00A35D1A" w:rsidP="00572951">
      <w:pPr>
        <w:adjustRightInd w:val="0"/>
        <w:snapToGrid w:val="0"/>
        <w:spacing w:line="400" w:lineRule="atLeast"/>
        <w:ind w:firstLineChars="200" w:firstLine="420"/>
        <w:jc w:val="right"/>
        <w:rPr>
          <w:rFonts w:ascii="Times New Roman" w:hAnsi="Times New Roman" w:cs="Times New Roman"/>
          <w:color w:val="000000" w:themeColor="text1"/>
          <w:szCs w:val="21"/>
        </w:rPr>
      </w:pPr>
      <w:r w:rsidRPr="00EA612D">
        <w:rPr>
          <w:rFonts w:ascii="Times New Roman" w:hAnsi="Times New Roman" w:cs="Times New Roman"/>
          <w:color w:val="000000" w:themeColor="text1"/>
          <w:szCs w:val="21"/>
        </w:rPr>
        <w:t>单位：人民币万元</w:t>
      </w:r>
    </w:p>
    <w:tbl>
      <w:tblPr>
        <w:tblW w:w="4907" w:type="pct"/>
        <w:tblInd w:w="108"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1985"/>
        <w:gridCol w:w="1559"/>
        <w:gridCol w:w="1559"/>
        <w:gridCol w:w="1560"/>
        <w:gridCol w:w="1700"/>
      </w:tblGrid>
      <w:tr w:rsidR="00835FFC" w:rsidRPr="00EA612D" w:rsidTr="00A35D1A">
        <w:trPr>
          <w:trHeight w:val="284"/>
        </w:trPr>
        <w:tc>
          <w:tcPr>
            <w:tcW w:w="1985" w:type="dxa"/>
            <w:shd w:val="clear" w:color="auto" w:fill="auto"/>
            <w:vAlign w:val="center"/>
            <w:hideMark/>
          </w:tcPr>
          <w:p w:rsidR="00A35D1A" w:rsidRPr="00EA612D" w:rsidRDefault="00A35D1A" w:rsidP="00A35D1A">
            <w:pPr>
              <w:snapToGrid w:val="0"/>
              <w:spacing w:line="200" w:lineRule="atLeast"/>
              <w:ind w:leftChars="-20" w:left="-42"/>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项目</w:t>
            </w:r>
          </w:p>
        </w:tc>
        <w:tc>
          <w:tcPr>
            <w:tcW w:w="1559" w:type="dxa"/>
            <w:shd w:val="clear" w:color="auto" w:fill="auto"/>
            <w:noWrap/>
            <w:vAlign w:val="center"/>
            <w:hideMark/>
          </w:tcPr>
          <w:p w:rsidR="00A35D1A" w:rsidRPr="00EA612D" w:rsidRDefault="00A35D1A" w:rsidP="00A35D1A">
            <w:pPr>
              <w:snapToGrid w:val="0"/>
              <w:spacing w:line="200" w:lineRule="atLeast"/>
              <w:ind w:leftChars="-20" w:left="-42"/>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2016</w:t>
            </w:r>
            <w:r w:rsidRPr="00EA612D">
              <w:rPr>
                <w:rFonts w:ascii="Times New Roman" w:hAnsi="Times New Roman" w:cs="Times New Roman"/>
                <w:color w:val="000000" w:themeColor="text1"/>
                <w:sz w:val="16"/>
                <w:szCs w:val="16"/>
              </w:rPr>
              <w:t>年初存货跌价准备金额</w:t>
            </w:r>
          </w:p>
        </w:tc>
        <w:tc>
          <w:tcPr>
            <w:tcW w:w="1559" w:type="dxa"/>
            <w:shd w:val="clear" w:color="auto" w:fill="auto"/>
            <w:noWrap/>
            <w:vAlign w:val="center"/>
            <w:hideMark/>
          </w:tcPr>
          <w:p w:rsidR="00A35D1A" w:rsidRPr="00EA612D" w:rsidRDefault="00A35D1A" w:rsidP="00A35D1A">
            <w:pPr>
              <w:snapToGrid w:val="0"/>
              <w:spacing w:line="200" w:lineRule="atLeast"/>
              <w:ind w:leftChars="-20" w:left="-42"/>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本年计提存货跌价准备金额</w:t>
            </w:r>
          </w:p>
        </w:tc>
        <w:tc>
          <w:tcPr>
            <w:tcW w:w="1560" w:type="dxa"/>
            <w:shd w:val="clear" w:color="auto" w:fill="auto"/>
            <w:noWrap/>
            <w:vAlign w:val="center"/>
            <w:hideMark/>
          </w:tcPr>
          <w:p w:rsidR="00A35D1A" w:rsidRPr="00EA612D" w:rsidRDefault="00A35D1A" w:rsidP="00A35D1A">
            <w:pPr>
              <w:snapToGrid w:val="0"/>
              <w:spacing w:line="200" w:lineRule="atLeast"/>
              <w:ind w:leftChars="-20" w:left="-42"/>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本年转回或转销跌价准备金额</w:t>
            </w:r>
          </w:p>
        </w:tc>
        <w:tc>
          <w:tcPr>
            <w:tcW w:w="1700" w:type="dxa"/>
            <w:shd w:val="clear" w:color="auto" w:fill="auto"/>
            <w:noWrap/>
            <w:vAlign w:val="center"/>
            <w:hideMark/>
          </w:tcPr>
          <w:p w:rsidR="00A35D1A" w:rsidRPr="00EA612D" w:rsidRDefault="00A35D1A" w:rsidP="00A35D1A">
            <w:pPr>
              <w:snapToGrid w:val="0"/>
              <w:spacing w:line="200" w:lineRule="atLeast"/>
              <w:ind w:leftChars="-20" w:left="-42"/>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2016</w:t>
            </w:r>
            <w:r w:rsidRPr="00EA612D">
              <w:rPr>
                <w:rFonts w:ascii="Times New Roman" w:hAnsi="Times New Roman" w:cs="Times New Roman"/>
                <w:color w:val="000000" w:themeColor="text1"/>
                <w:sz w:val="16"/>
                <w:szCs w:val="16"/>
              </w:rPr>
              <w:t>年末存货跌价准备金额</w:t>
            </w:r>
          </w:p>
        </w:tc>
      </w:tr>
      <w:tr w:rsidR="00835FFC" w:rsidRPr="00EA612D" w:rsidTr="00A35D1A">
        <w:trPr>
          <w:trHeight w:val="284"/>
        </w:trPr>
        <w:tc>
          <w:tcPr>
            <w:tcW w:w="1985" w:type="dxa"/>
            <w:shd w:val="clear" w:color="auto" w:fill="auto"/>
            <w:vAlign w:val="center"/>
            <w:hideMark/>
          </w:tcPr>
          <w:p w:rsidR="00A35D1A" w:rsidRPr="00EA612D" w:rsidRDefault="00A35D1A" w:rsidP="00A35D1A">
            <w:pPr>
              <w:snapToGrid w:val="0"/>
              <w:spacing w:line="200" w:lineRule="atLeast"/>
              <w:ind w:leftChars="-20" w:left="-42"/>
              <w:jc w:val="lef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原材料</w:t>
            </w:r>
          </w:p>
        </w:tc>
        <w:tc>
          <w:tcPr>
            <w:tcW w:w="1559" w:type="dxa"/>
            <w:shd w:val="clear" w:color="auto" w:fill="auto"/>
            <w:noWrap/>
            <w:vAlign w:val="center"/>
            <w:hideMark/>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11,739.53</w:t>
            </w:r>
          </w:p>
        </w:tc>
        <w:tc>
          <w:tcPr>
            <w:tcW w:w="1559" w:type="dxa"/>
            <w:shd w:val="clear" w:color="auto" w:fill="auto"/>
            <w:noWrap/>
            <w:vAlign w:val="center"/>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13,692.17</w:t>
            </w:r>
          </w:p>
        </w:tc>
        <w:tc>
          <w:tcPr>
            <w:tcW w:w="1560" w:type="dxa"/>
            <w:shd w:val="clear" w:color="auto" w:fill="auto"/>
            <w:noWrap/>
            <w:vAlign w:val="center"/>
          </w:tcPr>
          <w:p w:rsidR="00A35D1A" w:rsidRPr="00EA612D" w:rsidRDefault="00A35D1A" w:rsidP="00636185">
            <w:pPr>
              <w:snapToGrid w:val="0"/>
              <w:spacing w:line="200" w:lineRule="atLeast"/>
              <w:ind w:leftChars="-20" w:left="-42"/>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1,189.7</w:t>
            </w:r>
            <w:r w:rsidR="00636185" w:rsidRPr="00EA612D">
              <w:rPr>
                <w:rFonts w:ascii="Times New Roman" w:hAnsi="Times New Roman" w:cs="Times New Roman" w:hint="eastAsia"/>
                <w:color w:val="000000" w:themeColor="text1"/>
                <w:sz w:val="16"/>
                <w:szCs w:val="16"/>
              </w:rPr>
              <w:t>8</w:t>
            </w:r>
          </w:p>
        </w:tc>
        <w:tc>
          <w:tcPr>
            <w:tcW w:w="1700" w:type="dxa"/>
            <w:shd w:val="clear" w:color="auto" w:fill="auto"/>
            <w:noWrap/>
            <w:vAlign w:val="center"/>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24,241.92</w:t>
            </w:r>
          </w:p>
        </w:tc>
      </w:tr>
      <w:tr w:rsidR="00835FFC" w:rsidRPr="00EA612D" w:rsidTr="00A35D1A">
        <w:trPr>
          <w:trHeight w:val="284"/>
        </w:trPr>
        <w:tc>
          <w:tcPr>
            <w:tcW w:w="1985" w:type="dxa"/>
            <w:shd w:val="clear" w:color="auto" w:fill="auto"/>
            <w:vAlign w:val="center"/>
            <w:hideMark/>
          </w:tcPr>
          <w:p w:rsidR="00A35D1A" w:rsidRPr="00EA612D" w:rsidRDefault="00A35D1A" w:rsidP="00A35D1A">
            <w:pPr>
              <w:snapToGrid w:val="0"/>
              <w:spacing w:line="200" w:lineRule="atLeast"/>
              <w:ind w:leftChars="-20" w:left="-42"/>
              <w:jc w:val="lef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周转材料</w:t>
            </w:r>
          </w:p>
        </w:tc>
        <w:tc>
          <w:tcPr>
            <w:tcW w:w="1559" w:type="dxa"/>
            <w:shd w:val="clear" w:color="auto" w:fill="auto"/>
            <w:noWrap/>
            <w:vAlign w:val="center"/>
            <w:hideMark/>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54.04</w:t>
            </w:r>
          </w:p>
        </w:tc>
        <w:tc>
          <w:tcPr>
            <w:tcW w:w="1559" w:type="dxa"/>
            <w:shd w:val="clear" w:color="auto" w:fill="auto"/>
            <w:noWrap/>
            <w:vAlign w:val="center"/>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6.63</w:t>
            </w:r>
          </w:p>
        </w:tc>
        <w:tc>
          <w:tcPr>
            <w:tcW w:w="1560" w:type="dxa"/>
            <w:shd w:val="clear" w:color="auto" w:fill="auto"/>
            <w:noWrap/>
            <w:vAlign w:val="center"/>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p>
        </w:tc>
        <w:tc>
          <w:tcPr>
            <w:tcW w:w="1700" w:type="dxa"/>
            <w:shd w:val="clear" w:color="auto" w:fill="auto"/>
            <w:noWrap/>
            <w:vAlign w:val="center"/>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60.67</w:t>
            </w:r>
          </w:p>
        </w:tc>
      </w:tr>
      <w:tr w:rsidR="00835FFC" w:rsidRPr="00EA612D" w:rsidTr="00A35D1A">
        <w:trPr>
          <w:trHeight w:val="284"/>
        </w:trPr>
        <w:tc>
          <w:tcPr>
            <w:tcW w:w="1985" w:type="dxa"/>
            <w:shd w:val="clear" w:color="auto" w:fill="auto"/>
            <w:vAlign w:val="center"/>
            <w:hideMark/>
          </w:tcPr>
          <w:p w:rsidR="00A35D1A" w:rsidRPr="00EA612D" w:rsidRDefault="00A35D1A" w:rsidP="00A35D1A">
            <w:pPr>
              <w:snapToGrid w:val="0"/>
              <w:spacing w:line="200" w:lineRule="atLeast"/>
              <w:ind w:leftChars="-20" w:left="-42"/>
              <w:jc w:val="lef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在产品</w:t>
            </w:r>
          </w:p>
        </w:tc>
        <w:tc>
          <w:tcPr>
            <w:tcW w:w="1559" w:type="dxa"/>
            <w:shd w:val="clear" w:color="auto" w:fill="auto"/>
            <w:noWrap/>
            <w:vAlign w:val="center"/>
            <w:hideMark/>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2,092.74</w:t>
            </w:r>
          </w:p>
        </w:tc>
        <w:tc>
          <w:tcPr>
            <w:tcW w:w="1559" w:type="dxa"/>
            <w:shd w:val="clear" w:color="auto" w:fill="auto"/>
            <w:noWrap/>
            <w:vAlign w:val="center"/>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655.31</w:t>
            </w:r>
          </w:p>
        </w:tc>
        <w:tc>
          <w:tcPr>
            <w:tcW w:w="1560" w:type="dxa"/>
            <w:shd w:val="clear" w:color="auto" w:fill="auto"/>
            <w:noWrap/>
            <w:vAlign w:val="center"/>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1,438.22</w:t>
            </w:r>
          </w:p>
        </w:tc>
        <w:tc>
          <w:tcPr>
            <w:tcW w:w="1700" w:type="dxa"/>
            <w:shd w:val="clear" w:color="auto" w:fill="auto"/>
            <w:noWrap/>
            <w:vAlign w:val="center"/>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1,309.83</w:t>
            </w:r>
          </w:p>
        </w:tc>
      </w:tr>
      <w:tr w:rsidR="00835FFC" w:rsidRPr="00EA612D" w:rsidTr="00A35D1A">
        <w:trPr>
          <w:trHeight w:val="284"/>
        </w:trPr>
        <w:tc>
          <w:tcPr>
            <w:tcW w:w="1985" w:type="dxa"/>
            <w:shd w:val="clear" w:color="auto" w:fill="auto"/>
            <w:vAlign w:val="center"/>
            <w:hideMark/>
          </w:tcPr>
          <w:p w:rsidR="00A35D1A" w:rsidRPr="00EA612D" w:rsidRDefault="00A35D1A" w:rsidP="00A35D1A">
            <w:pPr>
              <w:snapToGrid w:val="0"/>
              <w:spacing w:line="200" w:lineRule="atLeast"/>
              <w:ind w:leftChars="-20" w:left="-42"/>
              <w:jc w:val="lef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库存商品</w:t>
            </w:r>
          </w:p>
        </w:tc>
        <w:tc>
          <w:tcPr>
            <w:tcW w:w="1559" w:type="dxa"/>
            <w:shd w:val="clear" w:color="auto" w:fill="auto"/>
            <w:noWrap/>
            <w:vAlign w:val="center"/>
            <w:hideMark/>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10,694.87</w:t>
            </w:r>
          </w:p>
        </w:tc>
        <w:tc>
          <w:tcPr>
            <w:tcW w:w="1559" w:type="dxa"/>
            <w:shd w:val="clear" w:color="auto" w:fill="auto"/>
            <w:noWrap/>
            <w:vAlign w:val="center"/>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14,505.50</w:t>
            </w:r>
          </w:p>
        </w:tc>
        <w:tc>
          <w:tcPr>
            <w:tcW w:w="1560" w:type="dxa"/>
            <w:shd w:val="clear" w:color="auto" w:fill="auto"/>
            <w:noWrap/>
            <w:vAlign w:val="center"/>
          </w:tcPr>
          <w:p w:rsidR="00A35D1A" w:rsidRPr="00EA612D" w:rsidRDefault="00A35D1A" w:rsidP="00636185">
            <w:pPr>
              <w:snapToGrid w:val="0"/>
              <w:spacing w:line="200" w:lineRule="atLeast"/>
              <w:ind w:leftChars="-20" w:left="-42"/>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2,286.8</w:t>
            </w:r>
            <w:r w:rsidR="00636185" w:rsidRPr="00EA612D">
              <w:rPr>
                <w:rFonts w:ascii="Times New Roman" w:hAnsi="Times New Roman" w:cs="Times New Roman" w:hint="eastAsia"/>
                <w:color w:val="000000" w:themeColor="text1"/>
                <w:sz w:val="16"/>
                <w:szCs w:val="16"/>
              </w:rPr>
              <w:t>8</w:t>
            </w:r>
          </w:p>
        </w:tc>
        <w:tc>
          <w:tcPr>
            <w:tcW w:w="1700" w:type="dxa"/>
            <w:shd w:val="clear" w:color="auto" w:fill="auto"/>
            <w:noWrap/>
            <w:vAlign w:val="center"/>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22,913.49</w:t>
            </w:r>
          </w:p>
        </w:tc>
      </w:tr>
      <w:tr w:rsidR="00835FFC" w:rsidRPr="00EA612D" w:rsidTr="00A35D1A">
        <w:trPr>
          <w:trHeight w:val="284"/>
        </w:trPr>
        <w:tc>
          <w:tcPr>
            <w:tcW w:w="1985" w:type="dxa"/>
            <w:shd w:val="clear" w:color="auto" w:fill="auto"/>
            <w:vAlign w:val="center"/>
            <w:hideMark/>
          </w:tcPr>
          <w:p w:rsidR="00A35D1A" w:rsidRPr="00EA612D" w:rsidRDefault="00A35D1A" w:rsidP="00A35D1A">
            <w:pPr>
              <w:snapToGrid w:val="0"/>
              <w:spacing w:line="200" w:lineRule="atLeast"/>
              <w:ind w:leftChars="-20" w:left="-42"/>
              <w:jc w:val="lef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其他</w:t>
            </w:r>
          </w:p>
        </w:tc>
        <w:tc>
          <w:tcPr>
            <w:tcW w:w="1559" w:type="dxa"/>
            <w:shd w:val="clear" w:color="auto" w:fill="auto"/>
            <w:noWrap/>
            <w:vAlign w:val="center"/>
            <w:hideMark/>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729.10</w:t>
            </w:r>
          </w:p>
        </w:tc>
        <w:tc>
          <w:tcPr>
            <w:tcW w:w="1559" w:type="dxa"/>
            <w:shd w:val="clear" w:color="auto" w:fill="auto"/>
            <w:noWrap/>
            <w:vAlign w:val="center"/>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p>
        </w:tc>
        <w:tc>
          <w:tcPr>
            <w:tcW w:w="1560" w:type="dxa"/>
            <w:shd w:val="clear" w:color="auto" w:fill="auto"/>
            <w:noWrap/>
            <w:vAlign w:val="center"/>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729.10</w:t>
            </w:r>
          </w:p>
        </w:tc>
        <w:tc>
          <w:tcPr>
            <w:tcW w:w="1700" w:type="dxa"/>
            <w:shd w:val="clear" w:color="auto" w:fill="auto"/>
            <w:noWrap/>
            <w:vAlign w:val="center"/>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p>
        </w:tc>
      </w:tr>
      <w:tr w:rsidR="00835FFC" w:rsidRPr="00EA612D" w:rsidTr="00A35D1A">
        <w:trPr>
          <w:trHeight w:val="284"/>
        </w:trPr>
        <w:tc>
          <w:tcPr>
            <w:tcW w:w="1985" w:type="dxa"/>
            <w:shd w:val="clear" w:color="auto" w:fill="auto"/>
            <w:vAlign w:val="center"/>
            <w:hideMark/>
          </w:tcPr>
          <w:p w:rsidR="00A35D1A" w:rsidRPr="00EA612D" w:rsidRDefault="00A35D1A" w:rsidP="00A35D1A">
            <w:pPr>
              <w:snapToGrid w:val="0"/>
              <w:spacing w:line="200" w:lineRule="atLeast"/>
              <w:ind w:leftChars="-20" w:left="-42"/>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合计</w:t>
            </w:r>
          </w:p>
        </w:tc>
        <w:tc>
          <w:tcPr>
            <w:tcW w:w="1559" w:type="dxa"/>
            <w:shd w:val="clear" w:color="auto" w:fill="auto"/>
            <w:noWrap/>
            <w:vAlign w:val="center"/>
            <w:hideMark/>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25,310.28</w:t>
            </w:r>
          </w:p>
        </w:tc>
        <w:tc>
          <w:tcPr>
            <w:tcW w:w="1559" w:type="dxa"/>
            <w:shd w:val="clear" w:color="auto" w:fill="auto"/>
            <w:noWrap/>
            <w:vAlign w:val="center"/>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28,859.61</w:t>
            </w:r>
          </w:p>
        </w:tc>
        <w:tc>
          <w:tcPr>
            <w:tcW w:w="1560" w:type="dxa"/>
            <w:shd w:val="clear" w:color="auto" w:fill="auto"/>
            <w:noWrap/>
            <w:vAlign w:val="center"/>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5,643.98</w:t>
            </w:r>
          </w:p>
        </w:tc>
        <w:tc>
          <w:tcPr>
            <w:tcW w:w="1700" w:type="dxa"/>
            <w:shd w:val="clear" w:color="auto" w:fill="auto"/>
            <w:noWrap/>
            <w:vAlign w:val="center"/>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48,525.91</w:t>
            </w:r>
          </w:p>
        </w:tc>
      </w:tr>
    </w:tbl>
    <w:p w:rsidR="00A35D1A" w:rsidRPr="00EA612D" w:rsidRDefault="00A35D1A" w:rsidP="000E5405">
      <w:pPr>
        <w:pStyle w:val="a6"/>
        <w:numPr>
          <w:ilvl w:val="0"/>
          <w:numId w:val="20"/>
        </w:numPr>
        <w:tabs>
          <w:tab w:val="left" w:pos="851"/>
          <w:tab w:val="left" w:pos="966"/>
        </w:tabs>
        <w:spacing w:beforeLines="50" w:before="156" w:afterLines="50" w:after="156" w:line="360" w:lineRule="auto"/>
        <w:ind w:leftChars="50" w:left="105" w:rightChars="50" w:right="105" w:firstLineChars="0" w:firstLine="561"/>
        <w:rPr>
          <w:rFonts w:asciiTheme="minorEastAsia" w:hAnsiTheme="minorEastAsia" w:cs="Times New Roman"/>
          <w:color w:val="000000" w:themeColor="text1"/>
          <w:sz w:val="24"/>
          <w:szCs w:val="24"/>
        </w:rPr>
      </w:pPr>
      <w:r w:rsidRPr="00EA612D">
        <w:rPr>
          <w:rFonts w:asciiTheme="minorEastAsia" w:hAnsiTheme="minorEastAsia" w:cs="Times New Roman"/>
          <w:color w:val="000000" w:themeColor="text1"/>
          <w:sz w:val="24"/>
          <w:szCs w:val="24"/>
        </w:rPr>
        <w:t>集成电路设计板块主要涉及单位大唐微电子技术有限公司、</w:t>
      </w:r>
      <w:proofErr w:type="gramStart"/>
      <w:r w:rsidRPr="00EA612D">
        <w:rPr>
          <w:rFonts w:asciiTheme="minorEastAsia" w:hAnsiTheme="minorEastAsia" w:cs="Times New Roman"/>
          <w:color w:val="000000" w:themeColor="text1"/>
          <w:sz w:val="24"/>
          <w:szCs w:val="24"/>
        </w:rPr>
        <w:t>联芯科技</w:t>
      </w:r>
      <w:proofErr w:type="gramEnd"/>
      <w:r w:rsidRPr="00EA612D">
        <w:rPr>
          <w:rFonts w:asciiTheme="minorEastAsia" w:hAnsiTheme="minorEastAsia" w:cs="Times New Roman"/>
          <w:color w:val="000000" w:themeColor="text1"/>
          <w:sz w:val="24"/>
          <w:szCs w:val="24"/>
        </w:rPr>
        <w:t>有限公司和</w:t>
      </w:r>
      <w:proofErr w:type="gramStart"/>
      <w:r w:rsidRPr="00EA612D">
        <w:rPr>
          <w:rFonts w:asciiTheme="minorEastAsia" w:hAnsiTheme="minorEastAsia" w:cs="Times New Roman"/>
          <w:color w:val="000000" w:themeColor="text1"/>
          <w:sz w:val="24"/>
          <w:szCs w:val="24"/>
        </w:rPr>
        <w:t>联芯</w:t>
      </w:r>
      <w:proofErr w:type="gramEnd"/>
      <w:r w:rsidRPr="00EA612D">
        <w:rPr>
          <w:rFonts w:asciiTheme="minorEastAsia" w:hAnsiTheme="minorEastAsia" w:cs="Times New Roman"/>
          <w:color w:val="000000" w:themeColor="text1"/>
          <w:sz w:val="24"/>
          <w:szCs w:val="24"/>
        </w:rPr>
        <w:t>科技（香港）有限公司。期末根据存货可变现净值与存货账面价值之间的差额计提存货跌价准备4,450.70万元；以前年度计提存货跌价准备在本期实现对外销售，转回或转销存货跌价准备862.36万元。集成电路设计板块计提及转回或转销存货跌价准备情况如下表：</w:t>
      </w:r>
    </w:p>
    <w:p w:rsidR="00A35D1A" w:rsidRPr="00EA612D" w:rsidRDefault="00A35D1A" w:rsidP="00572951">
      <w:pPr>
        <w:adjustRightInd w:val="0"/>
        <w:snapToGrid w:val="0"/>
        <w:spacing w:line="400" w:lineRule="atLeast"/>
        <w:ind w:firstLineChars="200" w:firstLine="420"/>
        <w:jc w:val="right"/>
        <w:rPr>
          <w:rFonts w:ascii="Times New Roman" w:hAnsi="Times New Roman" w:cs="Times New Roman"/>
          <w:color w:val="000000" w:themeColor="text1"/>
          <w:szCs w:val="21"/>
        </w:rPr>
      </w:pPr>
      <w:r w:rsidRPr="00EA612D">
        <w:rPr>
          <w:rFonts w:ascii="Times New Roman" w:hAnsi="Times New Roman" w:cs="Times New Roman"/>
          <w:color w:val="000000" w:themeColor="text1"/>
          <w:szCs w:val="21"/>
        </w:rPr>
        <w:t>单位：人民币万元</w:t>
      </w:r>
    </w:p>
    <w:tbl>
      <w:tblPr>
        <w:tblW w:w="4907" w:type="pct"/>
        <w:tblInd w:w="108"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1985"/>
        <w:gridCol w:w="1559"/>
        <w:gridCol w:w="1559"/>
        <w:gridCol w:w="1560"/>
        <w:gridCol w:w="1700"/>
      </w:tblGrid>
      <w:tr w:rsidR="00835FFC" w:rsidRPr="00EA612D" w:rsidTr="00A35D1A">
        <w:trPr>
          <w:trHeight w:val="284"/>
        </w:trPr>
        <w:tc>
          <w:tcPr>
            <w:tcW w:w="1985" w:type="dxa"/>
            <w:shd w:val="clear" w:color="auto" w:fill="auto"/>
            <w:vAlign w:val="center"/>
            <w:hideMark/>
          </w:tcPr>
          <w:p w:rsidR="00A35D1A" w:rsidRPr="00EA612D" w:rsidRDefault="00A35D1A" w:rsidP="00A35D1A">
            <w:pPr>
              <w:snapToGrid w:val="0"/>
              <w:spacing w:line="200" w:lineRule="atLeast"/>
              <w:ind w:leftChars="-20" w:left="-42"/>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项目</w:t>
            </w:r>
          </w:p>
        </w:tc>
        <w:tc>
          <w:tcPr>
            <w:tcW w:w="1559" w:type="dxa"/>
            <w:shd w:val="clear" w:color="auto" w:fill="auto"/>
            <w:noWrap/>
            <w:vAlign w:val="center"/>
            <w:hideMark/>
          </w:tcPr>
          <w:p w:rsidR="00A35D1A" w:rsidRPr="00EA612D" w:rsidRDefault="00A35D1A" w:rsidP="00A35D1A">
            <w:pPr>
              <w:snapToGrid w:val="0"/>
              <w:spacing w:line="200" w:lineRule="atLeast"/>
              <w:ind w:leftChars="-20" w:left="-42"/>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2016</w:t>
            </w:r>
            <w:r w:rsidRPr="00EA612D">
              <w:rPr>
                <w:rFonts w:ascii="Times New Roman" w:hAnsi="Times New Roman" w:cs="Times New Roman"/>
                <w:color w:val="000000" w:themeColor="text1"/>
                <w:sz w:val="16"/>
                <w:szCs w:val="16"/>
              </w:rPr>
              <w:t>年初存货跌价准备金额</w:t>
            </w:r>
          </w:p>
        </w:tc>
        <w:tc>
          <w:tcPr>
            <w:tcW w:w="1559" w:type="dxa"/>
            <w:shd w:val="clear" w:color="auto" w:fill="auto"/>
            <w:noWrap/>
            <w:vAlign w:val="center"/>
            <w:hideMark/>
          </w:tcPr>
          <w:p w:rsidR="00A35D1A" w:rsidRPr="00EA612D" w:rsidRDefault="00A35D1A" w:rsidP="00A35D1A">
            <w:pPr>
              <w:snapToGrid w:val="0"/>
              <w:spacing w:line="200" w:lineRule="atLeast"/>
              <w:ind w:leftChars="-20" w:left="-42"/>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本年计提存货跌价准备金额</w:t>
            </w:r>
          </w:p>
        </w:tc>
        <w:tc>
          <w:tcPr>
            <w:tcW w:w="1560" w:type="dxa"/>
            <w:shd w:val="clear" w:color="auto" w:fill="auto"/>
            <w:noWrap/>
            <w:vAlign w:val="center"/>
            <w:hideMark/>
          </w:tcPr>
          <w:p w:rsidR="00A35D1A" w:rsidRPr="00EA612D" w:rsidRDefault="00A35D1A" w:rsidP="00A35D1A">
            <w:pPr>
              <w:snapToGrid w:val="0"/>
              <w:spacing w:line="200" w:lineRule="atLeast"/>
              <w:ind w:leftChars="-20" w:left="-42"/>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本年转回或转销跌价准备金额</w:t>
            </w:r>
          </w:p>
        </w:tc>
        <w:tc>
          <w:tcPr>
            <w:tcW w:w="1700" w:type="dxa"/>
            <w:shd w:val="clear" w:color="auto" w:fill="auto"/>
            <w:noWrap/>
            <w:vAlign w:val="center"/>
            <w:hideMark/>
          </w:tcPr>
          <w:p w:rsidR="00A35D1A" w:rsidRPr="00EA612D" w:rsidRDefault="00A35D1A" w:rsidP="00A35D1A">
            <w:pPr>
              <w:snapToGrid w:val="0"/>
              <w:spacing w:line="200" w:lineRule="atLeast"/>
              <w:ind w:leftChars="-20" w:left="-42"/>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2016</w:t>
            </w:r>
            <w:r w:rsidRPr="00EA612D">
              <w:rPr>
                <w:rFonts w:ascii="Times New Roman" w:hAnsi="Times New Roman" w:cs="Times New Roman"/>
                <w:color w:val="000000" w:themeColor="text1"/>
                <w:sz w:val="16"/>
                <w:szCs w:val="16"/>
              </w:rPr>
              <w:t>年末存货跌价准备金额</w:t>
            </w:r>
          </w:p>
        </w:tc>
      </w:tr>
      <w:tr w:rsidR="00835FFC" w:rsidRPr="00EA612D" w:rsidTr="00A35D1A">
        <w:trPr>
          <w:trHeight w:val="284"/>
        </w:trPr>
        <w:tc>
          <w:tcPr>
            <w:tcW w:w="1985" w:type="dxa"/>
            <w:shd w:val="clear" w:color="auto" w:fill="auto"/>
            <w:vAlign w:val="center"/>
            <w:hideMark/>
          </w:tcPr>
          <w:p w:rsidR="00A35D1A" w:rsidRPr="00EA612D" w:rsidRDefault="00A35D1A" w:rsidP="00A35D1A">
            <w:pPr>
              <w:snapToGrid w:val="0"/>
              <w:spacing w:line="200" w:lineRule="atLeast"/>
              <w:ind w:leftChars="-20" w:left="-42"/>
              <w:jc w:val="lef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原材料</w:t>
            </w:r>
          </w:p>
        </w:tc>
        <w:tc>
          <w:tcPr>
            <w:tcW w:w="1559" w:type="dxa"/>
            <w:shd w:val="clear" w:color="auto" w:fill="auto"/>
            <w:noWrap/>
            <w:vAlign w:val="center"/>
            <w:hideMark/>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304.21</w:t>
            </w:r>
          </w:p>
        </w:tc>
        <w:tc>
          <w:tcPr>
            <w:tcW w:w="1559" w:type="dxa"/>
            <w:shd w:val="clear" w:color="auto" w:fill="auto"/>
            <w:noWrap/>
            <w:vAlign w:val="center"/>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109.83</w:t>
            </w:r>
          </w:p>
        </w:tc>
        <w:tc>
          <w:tcPr>
            <w:tcW w:w="1560" w:type="dxa"/>
            <w:shd w:val="clear" w:color="auto" w:fill="auto"/>
            <w:noWrap/>
            <w:vAlign w:val="center"/>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286.63</w:t>
            </w:r>
          </w:p>
        </w:tc>
        <w:tc>
          <w:tcPr>
            <w:tcW w:w="1700" w:type="dxa"/>
            <w:shd w:val="clear" w:color="auto" w:fill="auto"/>
            <w:noWrap/>
            <w:vAlign w:val="center"/>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127.40</w:t>
            </w:r>
          </w:p>
        </w:tc>
      </w:tr>
      <w:tr w:rsidR="00835FFC" w:rsidRPr="00EA612D" w:rsidTr="00A35D1A">
        <w:trPr>
          <w:trHeight w:val="284"/>
        </w:trPr>
        <w:tc>
          <w:tcPr>
            <w:tcW w:w="1985" w:type="dxa"/>
            <w:shd w:val="clear" w:color="auto" w:fill="auto"/>
            <w:vAlign w:val="center"/>
            <w:hideMark/>
          </w:tcPr>
          <w:p w:rsidR="00A35D1A" w:rsidRPr="00EA612D" w:rsidRDefault="00A35D1A" w:rsidP="00A35D1A">
            <w:pPr>
              <w:snapToGrid w:val="0"/>
              <w:spacing w:line="200" w:lineRule="atLeast"/>
              <w:ind w:leftChars="-20" w:left="-42"/>
              <w:jc w:val="lef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在产品</w:t>
            </w:r>
          </w:p>
        </w:tc>
        <w:tc>
          <w:tcPr>
            <w:tcW w:w="1559" w:type="dxa"/>
            <w:shd w:val="clear" w:color="auto" w:fill="auto"/>
            <w:noWrap/>
            <w:vAlign w:val="center"/>
            <w:hideMark/>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348.17</w:t>
            </w:r>
          </w:p>
        </w:tc>
        <w:tc>
          <w:tcPr>
            <w:tcW w:w="1559" w:type="dxa"/>
            <w:shd w:val="clear" w:color="auto" w:fill="auto"/>
            <w:noWrap/>
            <w:vAlign w:val="center"/>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42.04</w:t>
            </w:r>
          </w:p>
        </w:tc>
        <w:tc>
          <w:tcPr>
            <w:tcW w:w="1560" w:type="dxa"/>
            <w:shd w:val="clear" w:color="auto" w:fill="auto"/>
            <w:noWrap/>
            <w:vAlign w:val="center"/>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245.42</w:t>
            </w:r>
          </w:p>
        </w:tc>
        <w:tc>
          <w:tcPr>
            <w:tcW w:w="1700" w:type="dxa"/>
            <w:shd w:val="clear" w:color="auto" w:fill="auto"/>
            <w:noWrap/>
            <w:vAlign w:val="center"/>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144.79</w:t>
            </w:r>
          </w:p>
        </w:tc>
      </w:tr>
      <w:tr w:rsidR="00835FFC" w:rsidRPr="00EA612D" w:rsidTr="00A35D1A">
        <w:trPr>
          <w:trHeight w:val="284"/>
        </w:trPr>
        <w:tc>
          <w:tcPr>
            <w:tcW w:w="1985" w:type="dxa"/>
            <w:shd w:val="clear" w:color="auto" w:fill="auto"/>
            <w:vAlign w:val="center"/>
            <w:hideMark/>
          </w:tcPr>
          <w:p w:rsidR="00A35D1A" w:rsidRPr="00EA612D" w:rsidRDefault="00A35D1A" w:rsidP="00A35D1A">
            <w:pPr>
              <w:snapToGrid w:val="0"/>
              <w:spacing w:line="200" w:lineRule="atLeast"/>
              <w:ind w:leftChars="-20" w:left="-42"/>
              <w:jc w:val="lef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库存商品</w:t>
            </w:r>
          </w:p>
        </w:tc>
        <w:tc>
          <w:tcPr>
            <w:tcW w:w="1559" w:type="dxa"/>
            <w:shd w:val="clear" w:color="auto" w:fill="auto"/>
            <w:noWrap/>
            <w:vAlign w:val="center"/>
            <w:hideMark/>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330.93</w:t>
            </w:r>
          </w:p>
        </w:tc>
        <w:tc>
          <w:tcPr>
            <w:tcW w:w="1559" w:type="dxa"/>
            <w:shd w:val="clear" w:color="auto" w:fill="auto"/>
            <w:noWrap/>
            <w:vAlign w:val="center"/>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4,298.83</w:t>
            </w:r>
          </w:p>
        </w:tc>
        <w:tc>
          <w:tcPr>
            <w:tcW w:w="1560" w:type="dxa"/>
            <w:shd w:val="clear" w:color="auto" w:fill="auto"/>
            <w:noWrap/>
            <w:vAlign w:val="center"/>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330.31</w:t>
            </w:r>
          </w:p>
        </w:tc>
        <w:tc>
          <w:tcPr>
            <w:tcW w:w="1700" w:type="dxa"/>
            <w:shd w:val="clear" w:color="auto" w:fill="auto"/>
            <w:noWrap/>
            <w:vAlign w:val="center"/>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4,299.44</w:t>
            </w:r>
          </w:p>
        </w:tc>
      </w:tr>
      <w:tr w:rsidR="00835FFC" w:rsidRPr="00EA612D" w:rsidTr="00A35D1A">
        <w:trPr>
          <w:trHeight w:val="284"/>
        </w:trPr>
        <w:tc>
          <w:tcPr>
            <w:tcW w:w="1985" w:type="dxa"/>
            <w:shd w:val="clear" w:color="auto" w:fill="auto"/>
            <w:vAlign w:val="center"/>
            <w:hideMark/>
          </w:tcPr>
          <w:p w:rsidR="00A35D1A" w:rsidRPr="00EA612D" w:rsidRDefault="00A35D1A" w:rsidP="00A35D1A">
            <w:pPr>
              <w:snapToGrid w:val="0"/>
              <w:spacing w:line="200" w:lineRule="atLeast"/>
              <w:ind w:leftChars="-20" w:left="-42"/>
              <w:jc w:val="center"/>
              <w:rPr>
                <w:rFonts w:ascii="Times New Roman" w:hAnsi="Times New Roman" w:cs="Times New Roman"/>
                <w:color w:val="000000" w:themeColor="text1"/>
                <w:sz w:val="20"/>
                <w:szCs w:val="20"/>
              </w:rPr>
            </w:pPr>
            <w:r w:rsidRPr="00EA612D">
              <w:rPr>
                <w:rFonts w:ascii="Times New Roman" w:hAnsi="Times New Roman" w:cs="Times New Roman"/>
                <w:color w:val="000000" w:themeColor="text1"/>
                <w:sz w:val="16"/>
                <w:szCs w:val="16"/>
              </w:rPr>
              <w:t>合计</w:t>
            </w:r>
          </w:p>
        </w:tc>
        <w:tc>
          <w:tcPr>
            <w:tcW w:w="1559" w:type="dxa"/>
            <w:shd w:val="clear" w:color="auto" w:fill="auto"/>
            <w:noWrap/>
            <w:vAlign w:val="center"/>
            <w:hideMark/>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983.30</w:t>
            </w:r>
          </w:p>
        </w:tc>
        <w:tc>
          <w:tcPr>
            <w:tcW w:w="1559" w:type="dxa"/>
            <w:shd w:val="clear" w:color="auto" w:fill="auto"/>
            <w:noWrap/>
            <w:vAlign w:val="center"/>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4,450.70</w:t>
            </w:r>
          </w:p>
        </w:tc>
        <w:tc>
          <w:tcPr>
            <w:tcW w:w="1560" w:type="dxa"/>
            <w:shd w:val="clear" w:color="auto" w:fill="auto"/>
            <w:noWrap/>
            <w:vAlign w:val="center"/>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862.36</w:t>
            </w:r>
          </w:p>
        </w:tc>
        <w:tc>
          <w:tcPr>
            <w:tcW w:w="1700" w:type="dxa"/>
            <w:shd w:val="clear" w:color="auto" w:fill="auto"/>
            <w:noWrap/>
            <w:vAlign w:val="center"/>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4,571.64</w:t>
            </w:r>
          </w:p>
        </w:tc>
      </w:tr>
    </w:tbl>
    <w:p w:rsidR="00A35D1A" w:rsidRPr="00EA612D" w:rsidRDefault="00A35D1A" w:rsidP="000E5405">
      <w:pPr>
        <w:pStyle w:val="a6"/>
        <w:numPr>
          <w:ilvl w:val="0"/>
          <w:numId w:val="20"/>
        </w:numPr>
        <w:tabs>
          <w:tab w:val="left" w:pos="851"/>
          <w:tab w:val="left" w:pos="952"/>
        </w:tabs>
        <w:spacing w:beforeLines="50" w:before="156" w:afterLines="50" w:after="156" w:line="360" w:lineRule="auto"/>
        <w:ind w:leftChars="50" w:left="105" w:rightChars="50" w:right="105" w:firstLineChars="0" w:firstLine="561"/>
        <w:rPr>
          <w:rFonts w:asciiTheme="minorEastAsia" w:hAnsiTheme="minorEastAsia" w:cs="Times New Roman"/>
          <w:color w:val="000000" w:themeColor="text1"/>
          <w:sz w:val="24"/>
          <w:szCs w:val="24"/>
        </w:rPr>
      </w:pPr>
      <w:r w:rsidRPr="00EA612D">
        <w:rPr>
          <w:rFonts w:asciiTheme="minorEastAsia" w:hAnsiTheme="minorEastAsia" w:cs="Times New Roman"/>
          <w:color w:val="000000" w:themeColor="text1"/>
          <w:sz w:val="24"/>
          <w:szCs w:val="24"/>
        </w:rPr>
        <w:t>终端设计板块主要涉及单位大唐终端设备有限公司、大唐电信（香港）有限公司、上海浦歌电子有限公司和盛耀无线通讯科技（北京）有限公司。期末根据存货可变现净值与存货账面价值之间的差额计提存货跌价准备12,915.12万元；以前年度计提存货跌价准备在本期实现对外销售，转回或转销存货跌价准备4,052.21万元。终端设计板块计提及转回或转销存货跌价准备情况如下表：</w:t>
      </w:r>
    </w:p>
    <w:p w:rsidR="00A35D1A" w:rsidRPr="00EA612D" w:rsidRDefault="00A35D1A" w:rsidP="00572951">
      <w:pPr>
        <w:adjustRightInd w:val="0"/>
        <w:snapToGrid w:val="0"/>
        <w:spacing w:line="400" w:lineRule="atLeast"/>
        <w:ind w:firstLineChars="200" w:firstLine="420"/>
        <w:jc w:val="right"/>
        <w:rPr>
          <w:rFonts w:ascii="Times New Roman" w:hAnsi="Times New Roman" w:cs="Times New Roman"/>
          <w:color w:val="000000" w:themeColor="text1"/>
          <w:szCs w:val="21"/>
        </w:rPr>
      </w:pPr>
      <w:r w:rsidRPr="00EA612D">
        <w:rPr>
          <w:rFonts w:ascii="Times New Roman" w:hAnsi="Times New Roman" w:cs="Times New Roman"/>
          <w:color w:val="000000" w:themeColor="text1"/>
          <w:szCs w:val="21"/>
        </w:rPr>
        <w:t>单位：人民币万元</w:t>
      </w:r>
    </w:p>
    <w:tbl>
      <w:tblPr>
        <w:tblW w:w="4907" w:type="pct"/>
        <w:tblInd w:w="108"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1985"/>
        <w:gridCol w:w="1559"/>
        <w:gridCol w:w="1559"/>
        <w:gridCol w:w="1560"/>
        <w:gridCol w:w="1700"/>
      </w:tblGrid>
      <w:tr w:rsidR="00835FFC" w:rsidRPr="00EA612D" w:rsidTr="00A35D1A">
        <w:trPr>
          <w:trHeight w:val="284"/>
        </w:trPr>
        <w:tc>
          <w:tcPr>
            <w:tcW w:w="1985" w:type="dxa"/>
            <w:shd w:val="clear" w:color="auto" w:fill="auto"/>
            <w:vAlign w:val="center"/>
            <w:hideMark/>
          </w:tcPr>
          <w:p w:rsidR="00A35D1A" w:rsidRPr="00EA612D" w:rsidRDefault="00A35D1A" w:rsidP="00A35D1A">
            <w:pPr>
              <w:snapToGrid w:val="0"/>
              <w:spacing w:line="200" w:lineRule="atLeast"/>
              <w:ind w:leftChars="-20" w:left="-42"/>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项目</w:t>
            </w:r>
          </w:p>
        </w:tc>
        <w:tc>
          <w:tcPr>
            <w:tcW w:w="1559" w:type="dxa"/>
            <w:shd w:val="clear" w:color="auto" w:fill="auto"/>
            <w:noWrap/>
            <w:vAlign w:val="center"/>
            <w:hideMark/>
          </w:tcPr>
          <w:p w:rsidR="00A35D1A" w:rsidRPr="00EA612D" w:rsidRDefault="00A35D1A" w:rsidP="00A35D1A">
            <w:pPr>
              <w:snapToGrid w:val="0"/>
              <w:spacing w:line="200" w:lineRule="atLeast"/>
              <w:ind w:leftChars="-20" w:left="-42"/>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2016</w:t>
            </w:r>
            <w:r w:rsidRPr="00EA612D">
              <w:rPr>
                <w:rFonts w:ascii="Times New Roman" w:hAnsi="Times New Roman" w:cs="Times New Roman"/>
                <w:color w:val="000000" w:themeColor="text1"/>
                <w:sz w:val="16"/>
                <w:szCs w:val="16"/>
              </w:rPr>
              <w:t>年初存货跌价准备金额</w:t>
            </w:r>
          </w:p>
        </w:tc>
        <w:tc>
          <w:tcPr>
            <w:tcW w:w="1559" w:type="dxa"/>
            <w:shd w:val="clear" w:color="auto" w:fill="auto"/>
            <w:noWrap/>
            <w:vAlign w:val="center"/>
            <w:hideMark/>
          </w:tcPr>
          <w:p w:rsidR="00A35D1A" w:rsidRPr="00EA612D" w:rsidRDefault="00A35D1A" w:rsidP="00A35D1A">
            <w:pPr>
              <w:snapToGrid w:val="0"/>
              <w:spacing w:line="200" w:lineRule="atLeast"/>
              <w:ind w:leftChars="-20" w:left="-42"/>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本年计提存货跌价准备金额</w:t>
            </w:r>
          </w:p>
        </w:tc>
        <w:tc>
          <w:tcPr>
            <w:tcW w:w="1560" w:type="dxa"/>
            <w:shd w:val="clear" w:color="auto" w:fill="auto"/>
            <w:noWrap/>
            <w:vAlign w:val="center"/>
            <w:hideMark/>
          </w:tcPr>
          <w:p w:rsidR="00A35D1A" w:rsidRPr="00EA612D" w:rsidRDefault="00A35D1A" w:rsidP="00A35D1A">
            <w:pPr>
              <w:snapToGrid w:val="0"/>
              <w:spacing w:line="200" w:lineRule="atLeast"/>
              <w:ind w:leftChars="-20" w:left="-42"/>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本年转回或转销跌价准备金额</w:t>
            </w:r>
          </w:p>
        </w:tc>
        <w:tc>
          <w:tcPr>
            <w:tcW w:w="1700" w:type="dxa"/>
            <w:shd w:val="clear" w:color="auto" w:fill="auto"/>
            <w:noWrap/>
            <w:vAlign w:val="center"/>
            <w:hideMark/>
          </w:tcPr>
          <w:p w:rsidR="00A35D1A" w:rsidRPr="00EA612D" w:rsidRDefault="00A35D1A" w:rsidP="00A35D1A">
            <w:pPr>
              <w:snapToGrid w:val="0"/>
              <w:spacing w:line="200" w:lineRule="atLeast"/>
              <w:ind w:leftChars="-20" w:left="-42"/>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2016</w:t>
            </w:r>
            <w:r w:rsidRPr="00EA612D">
              <w:rPr>
                <w:rFonts w:ascii="Times New Roman" w:hAnsi="Times New Roman" w:cs="Times New Roman"/>
                <w:color w:val="000000" w:themeColor="text1"/>
                <w:sz w:val="16"/>
                <w:szCs w:val="16"/>
              </w:rPr>
              <w:t>年末存货跌价准备金额</w:t>
            </w:r>
          </w:p>
        </w:tc>
      </w:tr>
      <w:tr w:rsidR="00835FFC" w:rsidRPr="00EA612D" w:rsidTr="00A35D1A">
        <w:trPr>
          <w:trHeight w:val="284"/>
        </w:trPr>
        <w:tc>
          <w:tcPr>
            <w:tcW w:w="1985" w:type="dxa"/>
            <w:shd w:val="clear" w:color="auto" w:fill="auto"/>
            <w:vAlign w:val="center"/>
            <w:hideMark/>
          </w:tcPr>
          <w:p w:rsidR="00A35D1A" w:rsidRPr="00EA612D" w:rsidRDefault="00A35D1A" w:rsidP="00A35D1A">
            <w:pPr>
              <w:snapToGrid w:val="0"/>
              <w:spacing w:line="200" w:lineRule="atLeast"/>
              <w:ind w:leftChars="-20" w:left="-42"/>
              <w:jc w:val="lef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原材料</w:t>
            </w:r>
          </w:p>
        </w:tc>
        <w:tc>
          <w:tcPr>
            <w:tcW w:w="1559" w:type="dxa"/>
            <w:shd w:val="clear" w:color="auto" w:fill="auto"/>
            <w:noWrap/>
            <w:vAlign w:val="center"/>
            <w:hideMark/>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1,100.00</w:t>
            </w:r>
          </w:p>
        </w:tc>
        <w:tc>
          <w:tcPr>
            <w:tcW w:w="1559" w:type="dxa"/>
            <w:shd w:val="clear" w:color="auto" w:fill="auto"/>
            <w:noWrap/>
            <w:vAlign w:val="center"/>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8,775.42</w:t>
            </w:r>
          </w:p>
        </w:tc>
        <w:tc>
          <w:tcPr>
            <w:tcW w:w="1560" w:type="dxa"/>
            <w:shd w:val="clear" w:color="auto" w:fill="auto"/>
            <w:noWrap/>
            <w:vAlign w:val="center"/>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1,100.00</w:t>
            </w:r>
          </w:p>
        </w:tc>
        <w:tc>
          <w:tcPr>
            <w:tcW w:w="1700" w:type="dxa"/>
            <w:shd w:val="clear" w:color="auto" w:fill="auto"/>
            <w:noWrap/>
            <w:vAlign w:val="center"/>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8,775.42</w:t>
            </w:r>
          </w:p>
        </w:tc>
      </w:tr>
      <w:tr w:rsidR="00835FFC" w:rsidRPr="00EA612D" w:rsidTr="00A35D1A">
        <w:trPr>
          <w:trHeight w:val="284"/>
        </w:trPr>
        <w:tc>
          <w:tcPr>
            <w:tcW w:w="1985" w:type="dxa"/>
            <w:shd w:val="clear" w:color="auto" w:fill="auto"/>
            <w:vAlign w:val="center"/>
            <w:hideMark/>
          </w:tcPr>
          <w:p w:rsidR="00A35D1A" w:rsidRPr="00EA612D" w:rsidRDefault="00A35D1A" w:rsidP="00A35D1A">
            <w:pPr>
              <w:snapToGrid w:val="0"/>
              <w:spacing w:line="200" w:lineRule="atLeast"/>
              <w:ind w:leftChars="-20" w:left="-42"/>
              <w:jc w:val="lef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库存商品</w:t>
            </w:r>
          </w:p>
        </w:tc>
        <w:tc>
          <w:tcPr>
            <w:tcW w:w="1559" w:type="dxa"/>
            <w:shd w:val="clear" w:color="auto" w:fill="auto"/>
            <w:noWrap/>
            <w:vAlign w:val="center"/>
            <w:hideMark/>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1,425.10</w:t>
            </w:r>
          </w:p>
        </w:tc>
        <w:tc>
          <w:tcPr>
            <w:tcW w:w="1559" w:type="dxa"/>
            <w:shd w:val="clear" w:color="auto" w:fill="auto"/>
            <w:noWrap/>
            <w:vAlign w:val="center"/>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4,139.70</w:t>
            </w:r>
          </w:p>
        </w:tc>
        <w:tc>
          <w:tcPr>
            <w:tcW w:w="1560" w:type="dxa"/>
            <w:shd w:val="clear" w:color="auto" w:fill="auto"/>
            <w:noWrap/>
            <w:vAlign w:val="center"/>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2,952.21</w:t>
            </w:r>
          </w:p>
        </w:tc>
        <w:tc>
          <w:tcPr>
            <w:tcW w:w="1700" w:type="dxa"/>
            <w:shd w:val="clear" w:color="auto" w:fill="auto"/>
            <w:noWrap/>
            <w:vAlign w:val="center"/>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2,612.59</w:t>
            </w:r>
          </w:p>
        </w:tc>
      </w:tr>
      <w:tr w:rsidR="00835FFC" w:rsidRPr="00EA612D" w:rsidTr="00A35D1A">
        <w:trPr>
          <w:trHeight w:val="284"/>
        </w:trPr>
        <w:tc>
          <w:tcPr>
            <w:tcW w:w="1985" w:type="dxa"/>
            <w:shd w:val="clear" w:color="auto" w:fill="auto"/>
            <w:vAlign w:val="center"/>
            <w:hideMark/>
          </w:tcPr>
          <w:p w:rsidR="00A35D1A" w:rsidRPr="00EA612D" w:rsidRDefault="00A35D1A" w:rsidP="00A35D1A">
            <w:pPr>
              <w:snapToGrid w:val="0"/>
              <w:spacing w:line="200" w:lineRule="atLeast"/>
              <w:ind w:leftChars="-20" w:left="-42"/>
              <w:jc w:val="center"/>
              <w:rPr>
                <w:rFonts w:ascii="Times New Roman" w:hAnsi="Times New Roman" w:cs="Times New Roman"/>
                <w:color w:val="000000" w:themeColor="text1"/>
                <w:sz w:val="20"/>
                <w:szCs w:val="20"/>
              </w:rPr>
            </w:pPr>
            <w:r w:rsidRPr="00EA612D">
              <w:rPr>
                <w:rFonts w:ascii="Times New Roman" w:hAnsi="Times New Roman" w:cs="Times New Roman"/>
                <w:color w:val="000000" w:themeColor="text1"/>
                <w:sz w:val="16"/>
                <w:szCs w:val="16"/>
              </w:rPr>
              <w:t>合计</w:t>
            </w:r>
          </w:p>
        </w:tc>
        <w:tc>
          <w:tcPr>
            <w:tcW w:w="1559" w:type="dxa"/>
            <w:shd w:val="clear" w:color="auto" w:fill="auto"/>
            <w:noWrap/>
            <w:vAlign w:val="center"/>
            <w:hideMark/>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2,525.10</w:t>
            </w:r>
          </w:p>
        </w:tc>
        <w:tc>
          <w:tcPr>
            <w:tcW w:w="1559" w:type="dxa"/>
            <w:shd w:val="clear" w:color="auto" w:fill="auto"/>
            <w:noWrap/>
            <w:vAlign w:val="center"/>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12,915.12</w:t>
            </w:r>
          </w:p>
        </w:tc>
        <w:tc>
          <w:tcPr>
            <w:tcW w:w="1560" w:type="dxa"/>
            <w:shd w:val="clear" w:color="auto" w:fill="auto"/>
            <w:noWrap/>
            <w:vAlign w:val="center"/>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4,052.21</w:t>
            </w:r>
          </w:p>
        </w:tc>
        <w:tc>
          <w:tcPr>
            <w:tcW w:w="1700" w:type="dxa"/>
            <w:shd w:val="clear" w:color="auto" w:fill="auto"/>
            <w:noWrap/>
            <w:vAlign w:val="center"/>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11,388.01</w:t>
            </w:r>
          </w:p>
        </w:tc>
      </w:tr>
    </w:tbl>
    <w:p w:rsidR="00A35D1A" w:rsidRPr="00EA612D" w:rsidRDefault="00572951" w:rsidP="00F663C7">
      <w:pPr>
        <w:spacing w:beforeLines="50" w:before="156" w:afterLines="50" w:after="156" w:line="360" w:lineRule="auto"/>
        <w:ind w:leftChars="50" w:left="105" w:rightChars="50" w:right="105" w:firstLineChars="200" w:firstLine="480"/>
        <w:rPr>
          <w:rFonts w:asciiTheme="minorEastAsia" w:hAnsiTheme="minorEastAsia" w:cs="Times New Roman"/>
          <w:color w:val="000000" w:themeColor="text1"/>
          <w:sz w:val="24"/>
          <w:szCs w:val="24"/>
        </w:rPr>
      </w:pPr>
      <w:r w:rsidRPr="00EA612D">
        <w:rPr>
          <w:rFonts w:asciiTheme="minorEastAsia" w:hAnsiTheme="minorEastAsia" w:cs="宋体" w:hint="eastAsia"/>
          <w:color w:val="000000" w:themeColor="text1"/>
          <w:sz w:val="24"/>
          <w:szCs w:val="24"/>
        </w:rPr>
        <w:lastRenderedPageBreak/>
        <w:t>③</w:t>
      </w:r>
      <w:r w:rsidR="00A35D1A" w:rsidRPr="00EA612D">
        <w:rPr>
          <w:rFonts w:asciiTheme="minorEastAsia" w:hAnsiTheme="minorEastAsia" w:cs="Times New Roman"/>
          <w:color w:val="000000" w:themeColor="text1"/>
          <w:sz w:val="24"/>
          <w:szCs w:val="24"/>
        </w:rPr>
        <w:t>软件和应用板块主要涉及单位西安大唐电信有限公司、大唐电信（天津）技术服务有限公司、江苏安防科技有限公司、大唐电信（成都）信息技术有限公司和大唐电信科技股份有限公司。期末根据存货可变现净值与存货账面价值之间的差额计提存货跌价准备11,493.79万元；以前年度计提存货跌价准备在本期实现对外销售，转回或转销存货跌价准备729.41 万元。软件和应用板块计提及转回或转销存货跌价准备情况如下表：</w:t>
      </w:r>
    </w:p>
    <w:p w:rsidR="00A35D1A" w:rsidRPr="00EA612D" w:rsidRDefault="00A35D1A" w:rsidP="00572951">
      <w:pPr>
        <w:adjustRightInd w:val="0"/>
        <w:snapToGrid w:val="0"/>
        <w:spacing w:line="400" w:lineRule="atLeast"/>
        <w:ind w:firstLineChars="200" w:firstLine="420"/>
        <w:jc w:val="right"/>
        <w:rPr>
          <w:rFonts w:ascii="Times New Roman" w:hAnsi="Times New Roman" w:cs="Times New Roman"/>
          <w:color w:val="000000" w:themeColor="text1"/>
          <w:szCs w:val="21"/>
        </w:rPr>
      </w:pPr>
      <w:r w:rsidRPr="00EA612D">
        <w:rPr>
          <w:rFonts w:ascii="Times New Roman" w:hAnsi="Times New Roman" w:cs="Times New Roman"/>
          <w:color w:val="000000" w:themeColor="text1"/>
          <w:szCs w:val="21"/>
        </w:rPr>
        <w:t>单位：人民币万元</w:t>
      </w:r>
    </w:p>
    <w:tbl>
      <w:tblPr>
        <w:tblW w:w="4907" w:type="pct"/>
        <w:tblInd w:w="108"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1985"/>
        <w:gridCol w:w="1559"/>
        <w:gridCol w:w="1559"/>
        <w:gridCol w:w="1560"/>
        <w:gridCol w:w="1700"/>
      </w:tblGrid>
      <w:tr w:rsidR="00835FFC" w:rsidRPr="00EA612D" w:rsidTr="00A35D1A">
        <w:trPr>
          <w:trHeight w:val="284"/>
        </w:trPr>
        <w:tc>
          <w:tcPr>
            <w:tcW w:w="1985" w:type="dxa"/>
            <w:shd w:val="clear" w:color="auto" w:fill="auto"/>
            <w:vAlign w:val="center"/>
            <w:hideMark/>
          </w:tcPr>
          <w:p w:rsidR="00A35D1A" w:rsidRPr="00EA612D" w:rsidRDefault="00A35D1A" w:rsidP="00A35D1A">
            <w:pPr>
              <w:snapToGrid w:val="0"/>
              <w:spacing w:line="200" w:lineRule="atLeast"/>
              <w:ind w:leftChars="-20" w:left="-42"/>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项目</w:t>
            </w:r>
          </w:p>
        </w:tc>
        <w:tc>
          <w:tcPr>
            <w:tcW w:w="1559" w:type="dxa"/>
            <w:shd w:val="clear" w:color="auto" w:fill="auto"/>
            <w:noWrap/>
            <w:vAlign w:val="center"/>
            <w:hideMark/>
          </w:tcPr>
          <w:p w:rsidR="00A35D1A" w:rsidRPr="00EA612D" w:rsidRDefault="00A35D1A" w:rsidP="00A35D1A">
            <w:pPr>
              <w:snapToGrid w:val="0"/>
              <w:spacing w:line="200" w:lineRule="atLeast"/>
              <w:ind w:leftChars="-20" w:left="-42"/>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2016</w:t>
            </w:r>
            <w:r w:rsidRPr="00EA612D">
              <w:rPr>
                <w:rFonts w:ascii="Times New Roman" w:hAnsi="Times New Roman" w:cs="Times New Roman" w:hint="eastAsia"/>
                <w:color w:val="000000" w:themeColor="text1"/>
                <w:sz w:val="16"/>
                <w:szCs w:val="16"/>
              </w:rPr>
              <w:t>年初存货跌价准备金额</w:t>
            </w:r>
          </w:p>
        </w:tc>
        <w:tc>
          <w:tcPr>
            <w:tcW w:w="1559" w:type="dxa"/>
            <w:shd w:val="clear" w:color="auto" w:fill="auto"/>
            <w:noWrap/>
            <w:vAlign w:val="center"/>
            <w:hideMark/>
          </w:tcPr>
          <w:p w:rsidR="00A35D1A" w:rsidRPr="00EA612D" w:rsidRDefault="00A35D1A" w:rsidP="00A35D1A">
            <w:pPr>
              <w:snapToGrid w:val="0"/>
              <w:spacing w:line="200" w:lineRule="atLeast"/>
              <w:ind w:leftChars="-20" w:left="-42"/>
              <w:jc w:val="center"/>
              <w:rPr>
                <w:rFonts w:ascii="Times New Roman" w:hAnsi="Times New Roman" w:cs="Times New Roman"/>
                <w:color w:val="000000" w:themeColor="text1"/>
                <w:sz w:val="16"/>
                <w:szCs w:val="16"/>
              </w:rPr>
            </w:pPr>
            <w:r w:rsidRPr="00EA612D">
              <w:rPr>
                <w:rFonts w:ascii="Times New Roman" w:hAnsi="Times New Roman" w:cs="Times New Roman" w:hint="eastAsia"/>
                <w:color w:val="000000" w:themeColor="text1"/>
                <w:sz w:val="16"/>
                <w:szCs w:val="16"/>
              </w:rPr>
              <w:t>本年计提存货跌价准备金额</w:t>
            </w:r>
          </w:p>
        </w:tc>
        <w:tc>
          <w:tcPr>
            <w:tcW w:w="1560" w:type="dxa"/>
            <w:shd w:val="clear" w:color="auto" w:fill="auto"/>
            <w:noWrap/>
            <w:vAlign w:val="center"/>
            <w:hideMark/>
          </w:tcPr>
          <w:p w:rsidR="00A35D1A" w:rsidRPr="00EA612D" w:rsidRDefault="00A35D1A" w:rsidP="00A35D1A">
            <w:pPr>
              <w:snapToGrid w:val="0"/>
              <w:spacing w:line="200" w:lineRule="atLeast"/>
              <w:ind w:leftChars="-20" w:left="-42"/>
              <w:jc w:val="center"/>
              <w:rPr>
                <w:rFonts w:ascii="Times New Roman" w:hAnsi="Times New Roman" w:cs="Times New Roman"/>
                <w:color w:val="000000" w:themeColor="text1"/>
                <w:sz w:val="16"/>
                <w:szCs w:val="16"/>
              </w:rPr>
            </w:pPr>
            <w:r w:rsidRPr="00EA612D">
              <w:rPr>
                <w:rFonts w:ascii="Times New Roman" w:hAnsi="Times New Roman" w:cs="Times New Roman" w:hint="eastAsia"/>
                <w:color w:val="000000" w:themeColor="text1"/>
                <w:sz w:val="16"/>
                <w:szCs w:val="16"/>
              </w:rPr>
              <w:t>本年转回或转销跌价准备金额</w:t>
            </w:r>
          </w:p>
        </w:tc>
        <w:tc>
          <w:tcPr>
            <w:tcW w:w="1700" w:type="dxa"/>
            <w:shd w:val="clear" w:color="auto" w:fill="auto"/>
            <w:noWrap/>
            <w:vAlign w:val="center"/>
            <w:hideMark/>
          </w:tcPr>
          <w:p w:rsidR="00A35D1A" w:rsidRPr="00EA612D" w:rsidRDefault="00A35D1A" w:rsidP="00A35D1A">
            <w:pPr>
              <w:snapToGrid w:val="0"/>
              <w:spacing w:line="200" w:lineRule="atLeast"/>
              <w:ind w:leftChars="-20" w:left="-42"/>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2016</w:t>
            </w:r>
            <w:r w:rsidRPr="00EA612D">
              <w:rPr>
                <w:rFonts w:ascii="Times New Roman" w:hAnsi="Times New Roman" w:cs="Times New Roman" w:hint="eastAsia"/>
                <w:color w:val="000000" w:themeColor="text1"/>
                <w:sz w:val="16"/>
                <w:szCs w:val="16"/>
              </w:rPr>
              <w:t>年末存货跌价准备金额</w:t>
            </w:r>
          </w:p>
        </w:tc>
      </w:tr>
      <w:tr w:rsidR="00835FFC" w:rsidRPr="00EA612D" w:rsidTr="00A35D1A">
        <w:trPr>
          <w:trHeight w:val="284"/>
        </w:trPr>
        <w:tc>
          <w:tcPr>
            <w:tcW w:w="1985" w:type="dxa"/>
            <w:shd w:val="clear" w:color="auto" w:fill="auto"/>
            <w:vAlign w:val="center"/>
            <w:hideMark/>
          </w:tcPr>
          <w:p w:rsidR="00A35D1A" w:rsidRPr="00EA612D" w:rsidRDefault="00A35D1A" w:rsidP="00A35D1A">
            <w:pPr>
              <w:snapToGrid w:val="0"/>
              <w:spacing w:line="200" w:lineRule="atLeast"/>
              <w:ind w:leftChars="-20" w:left="-42"/>
              <w:jc w:val="lef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原材料</w:t>
            </w:r>
          </w:p>
        </w:tc>
        <w:tc>
          <w:tcPr>
            <w:tcW w:w="1559" w:type="dxa"/>
            <w:shd w:val="clear" w:color="auto" w:fill="auto"/>
            <w:noWrap/>
            <w:vAlign w:val="center"/>
            <w:hideMark/>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10,532.18</w:t>
            </w:r>
          </w:p>
        </w:tc>
        <w:tc>
          <w:tcPr>
            <w:tcW w:w="1559" w:type="dxa"/>
            <w:shd w:val="clear" w:color="auto" w:fill="auto"/>
            <w:noWrap/>
            <w:vAlign w:val="center"/>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4,806.93</w:t>
            </w:r>
          </w:p>
        </w:tc>
        <w:tc>
          <w:tcPr>
            <w:tcW w:w="1560" w:type="dxa"/>
            <w:shd w:val="clear" w:color="auto" w:fill="auto"/>
            <w:noWrap/>
            <w:vAlign w:val="center"/>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p>
        </w:tc>
        <w:tc>
          <w:tcPr>
            <w:tcW w:w="1700" w:type="dxa"/>
            <w:shd w:val="clear" w:color="auto" w:fill="auto"/>
            <w:noWrap/>
            <w:vAlign w:val="center"/>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15,339.10</w:t>
            </w:r>
          </w:p>
        </w:tc>
      </w:tr>
      <w:tr w:rsidR="00835FFC" w:rsidRPr="00EA612D" w:rsidTr="00A35D1A">
        <w:trPr>
          <w:trHeight w:val="284"/>
        </w:trPr>
        <w:tc>
          <w:tcPr>
            <w:tcW w:w="1985" w:type="dxa"/>
            <w:shd w:val="clear" w:color="auto" w:fill="auto"/>
            <w:vAlign w:val="center"/>
            <w:hideMark/>
          </w:tcPr>
          <w:p w:rsidR="00A35D1A" w:rsidRPr="00EA612D" w:rsidRDefault="00A35D1A" w:rsidP="00A35D1A">
            <w:pPr>
              <w:snapToGrid w:val="0"/>
              <w:spacing w:line="200" w:lineRule="atLeast"/>
              <w:ind w:leftChars="-20" w:left="-42"/>
              <w:jc w:val="lef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周转材料</w:t>
            </w:r>
          </w:p>
        </w:tc>
        <w:tc>
          <w:tcPr>
            <w:tcW w:w="1559" w:type="dxa"/>
            <w:shd w:val="clear" w:color="auto" w:fill="auto"/>
            <w:noWrap/>
            <w:vAlign w:val="center"/>
            <w:hideMark/>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54.04</w:t>
            </w:r>
          </w:p>
        </w:tc>
        <w:tc>
          <w:tcPr>
            <w:tcW w:w="1559" w:type="dxa"/>
            <w:shd w:val="clear" w:color="auto" w:fill="auto"/>
            <w:noWrap/>
            <w:vAlign w:val="center"/>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6.63</w:t>
            </w:r>
          </w:p>
        </w:tc>
        <w:tc>
          <w:tcPr>
            <w:tcW w:w="1560" w:type="dxa"/>
            <w:shd w:val="clear" w:color="auto" w:fill="auto"/>
            <w:noWrap/>
            <w:vAlign w:val="center"/>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p>
        </w:tc>
        <w:tc>
          <w:tcPr>
            <w:tcW w:w="1700" w:type="dxa"/>
            <w:shd w:val="clear" w:color="auto" w:fill="auto"/>
            <w:noWrap/>
            <w:vAlign w:val="center"/>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60.67</w:t>
            </w:r>
          </w:p>
        </w:tc>
      </w:tr>
      <w:tr w:rsidR="00835FFC" w:rsidRPr="00EA612D" w:rsidTr="00A35D1A">
        <w:trPr>
          <w:trHeight w:val="284"/>
        </w:trPr>
        <w:tc>
          <w:tcPr>
            <w:tcW w:w="1985" w:type="dxa"/>
            <w:shd w:val="clear" w:color="auto" w:fill="auto"/>
            <w:vAlign w:val="center"/>
            <w:hideMark/>
          </w:tcPr>
          <w:p w:rsidR="00A35D1A" w:rsidRPr="00EA612D" w:rsidRDefault="00A35D1A" w:rsidP="00A35D1A">
            <w:pPr>
              <w:snapToGrid w:val="0"/>
              <w:spacing w:line="200" w:lineRule="atLeast"/>
              <w:ind w:leftChars="-20" w:left="-42"/>
              <w:jc w:val="lef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在产品</w:t>
            </w:r>
          </w:p>
        </w:tc>
        <w:tc>
          <w:tcPr>
            <w:tcW w:w="1559" w:type="dxa"/>
            <w:shd w:val="clear" w:color="auto" w:fill="auto"/>
            <w:noWrap/>
            <w:vAlign w:val="center"/>
            <w:hideMark/>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552.47</w:t>
            </w:r>
          </w:p>
        </w:tc>
        <w:tc>
          <w:tcPr>
            <w:tcW w:w="1559" w:type="dxa"/>
            <w:shd w:val="clear" w:color="auto" w:fill="auto"/>
            <w:noWrap/>
            <w:vAlign w:val="center"/>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613.26</w:t>
            </w:r>
          </w:p>
        </w:tc>
        <w:tc>
          <w:tcPr>
            <w:tcW w:w="1560" w:type="dxa"/>
            <w:shd w:val="clear" w:color="auto" w:fill="auto"/>
            <w:noWrap/>
            <w:vAlign w:val="center"/>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0.31</w:t>
            </w:r>
          </w:p>
        </w:tc>
        <w:tc>
          <w:tcPr>
            <w:tcW w:w="1700" w:type="dxa"/>
            <w:shd w:val="clear" w:color="auto" w:fill="auto"/>
            <w:noWrap/>
            <w:vAlign w:val="center"/>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1,165.42</w:t>
            </w:r>
          </w:p>
        </w:tc>
      </w:tr>
      <w:tr w:rsidR="00835FFC" w:rsidRPr="00EA612D" w:rsidTr="00A35D1A">
        <w:trPr>
          <w:trHeight w:val="284"/>
        </w:trPr>
        <w:tc>
          <w:tcPr>
            <w:tcW w:w="1985" w:type="dxa"/>
            <w:shd w:val="clear" w:color="auto" w:fill="auto"/>
            <w:vAlign w:val="center"/>
            <w:hideMark/>
          </w:tcPr>
          <w:p w:rsidR="00A35D1A" w:rsidRPr="00EA612D" w:rsidRDefault="00A35D1A" w:rsidP="00A35D1A">
            <w:pPr>
              <w:snapToGrid w:val="0"/>
              <w:spacing w:line="200" w:lineRule="atLeast"/>
              <w:ind w:leftChars="-20" w:left="-42"/>
              <w:jc w:val="lef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库存商品</w:t>
            </w:r>
          </w:p>
        </w:tc>
        <w:tc>
          <w:tcPr>
            <w:tcW w:w="1559" w:type="dxa"/>
            <w:shd w:val="clear" w:color="auto" w:fill="auto"/>
            <w:noWrap/>
            <w:vAlign w:val="center"/>
            <w:hideMark/>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9,934.09</w:t>
            </w:r>
          </w:p>
        </w:tc>
        <w:tc>
          <w:tcPr>
            <w:tcW w:w="1559" w:type="dxa"/>
            <w:shd w:val="clear" w:color="auto" w:fill="auto"/>
            <w:noWrap/>
            <w:vAlign w:val="center"/>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6,066.97</w:t>
            </w:r>
          </w:p>
        </w:tc>
        <w:tc>
          <w:tcPr>
            <w:tcW w:w="1560" w:type="dxa"/>
            <w:shd w:val="clear" w:color="auto" w:fill="auto"/>
            <w:noWrap/>
            <w:vAlign w:val="center"/>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p>
        </w:tc>
        <w:tc>
          <w:tcPr>
            <w:tcW w:w="1700" w:type="dxa"/>
            <w:shd w:val="clear" w:color="auto" w:fill="auto"/>
            <w:noWrap/>
            <w:vAlign w:val="center"/>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16,001.06</w:t>
            </w:r>
          </w:p>
        </w:tc>
      </w:tr>
      <w:tr w:rsidR="00835FFC" w:rsidRPr="00EA612D" w:rsidTr="00A35D1A">
        <w:trPr>
          <w:trHeight w:val="284"/>
        </w:trPr>
        <w:tc>
          <w:tcPr>
            <w:tcW w:w="1985" w:type="dxa"/>
            <w:shd w:val="clear" w:color="auto" w:fill="auto"/>
            <w:vAlign w:val="center"/>
            <w:hideMark/>
          </w:tcPr>
          <w:p w:rsidR="00A35D1A" w:rsidRPr="00EA612D" w:rsidRDefault="00A35D1A" w:rsidP="00A35D1A">
            <w:pPr>
              <w:snapToGrid w:val="0"/>
              <w:spacing w:line="200" w:lineRule="atLeast"/>
              <w:ind w:leftChars="-20" w:left="-42"/>
              <w:jc w:val="lef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其他</w:t>
            </w:r>
          </w:p>
        </w:tc>
        <w:tc>
          <w:tcPr>
            <w:tcW w:w="1559" w:type="dxa"/>
            <w:shd w:val="clear" w:color="auto" w:fill="auto"/>
            <w:noWrap/>
            <w:vAlign w:val="center"/>
            <w:hideMark/>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729.10</w:t>
            </w:r>
          </w:p>
        </w:tc>
        <w:tc>
          <w:tcPr>
            <w:tcW w:w="1559" w:type="dxa"/>
            <w:shd w:val="clear" w:color="auto" w:fill="auto"/>
            <w:noWrap/>
            <w:vAlign w:val="center"/>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p>
        </w:tc>
        <w:tc>
          <w:tcPr>
            <w:tcW w:w="1560" w:type="dxa"/>
            <w:shd w:val="clear" w:color="auto" w:fill="auto"/>
            <w:noWrap/>
            <w:vAlign w:val="center"/>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729.10</w:t>
            </w:r>
          </w:p>
        </w:tc>
        <w:tc>
          <w:tcPr>
            <w:tcW w:w="1700" w:type="dxa"/>
            <w:shd w:val="clear" w:color="auto" w:fill="auto"/>
            <w:noWrap/>
            <w:vAlign w:val="center"/>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p>
        </w:tc>
      </w:tr>
      <w:tr w:rsidR="00835FFC" w:rsidRPr="00EA612D" w:rsidTr="00A35D1A">
        <w:trPr>
          <w:trHeight w:val="284"/>
        </w:trPr>
        <w:tc>
          <w:tcPr>
            <w:tcW w:w="1985" w:type="dxa"/>
            <w:shd w:val="clear" w:color="auto" w:fill="auto"/>
            <w:vAlign w:val="center"/>
            <w:hideMark/>
          </w:tcPr>
          <w:p w:rsidR="00A35D1A" w:rsidRPr="00EA612D" w:rsidRDefault="00A35D1A" w:rsidP="00A35D1A">
            <w:pPr>
              <w:snapToGrid w:val="0"/>
              <w:spacing w:line="200" w:lineRule="atLeast"/>
              <w:ind w:leftChars="-20" w:left="-42"/>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合计</w:t>
            </w:r>
          </w:p>
        </w:tc>
        <w:tc>
          <w:tcPr>
            <w:tcW w:w="1559" w:type="dxa"/>
            <w:shd w:val="clear" w:color="auto" w:fill="auto"/>
            <w:noWrap/>
            <w:vAlign w:val="center"/>
            <w:hideMark/>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21,801.88</w:t>
            </w:r>
          </w:p>
        </w:tc>
        <w:tc>
          <w:tcPr>
            <w:tcW w:w="1559" w:type="dxa"/>
            <w:shd w:val="clear" w:color="auto" w:fill="auto"/>
            <w:noWrap/>
            <w:vAlign w:val="center"/>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11,493.79</w:t>
            </w:r>
          </w:p>
        </w:tc>
        <w:tc>
          <w:tcPr>
            <w:tcW w:w="1560" w:type="dxa"/>
            <w:shd w:val="clear" w:color="auto" w:fill="auto"/>
            <w:noWrap/>
            <w:vAlign w:val="center"/>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729.41</w:t>
            </w:r>
          </w:p>
        </w:tc>
        <w:tc>
          <w:tcPr>
            <w:tcW w:w="1700" w:type="dxa"/>
            <w:shd w:val="clear" w:color="auto" w:fill="auto"/>
            <w:noWrap/>
            <w:vAlign w:val="center"/>
          </w:tcPr>
          <w:p w:rsidR="00A35D1A" w:rsidRPr="00EA612D" w:rsidRDefault="00A35D1A" w:rsidP="00A35D1A">
            <w:pPr>
              <w:snapToGrid w:val="0"/>
              <w:spacing w:line="200" w:lineRule="atLeast"/>
              <w:ind w:leftChars="-20" w:left="-42"/>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32,566.25</w:t>
            </w:r>
          </w:p>
        </w:tc>
      </w:tr>
    </w:tbl>
    <w:p w:rsidR="00A35D1A" w:rsidRPr="00EA612D" w:rsidRDefault="00F530DF" w:rsidP="00F663C7">
      <w:pPr>
        <w:spacing w:beforeLines="50" w:before="156" w:afterLines="50" w:after="156" w:line="360" w:lineRule="auto"/>
        <w:ind w:leftChars="50" w:left="105" w:rightChars="50" w:right="105" w:firstLineChars="200" w:firstLine="480"/>
        <w:jc w:val="left"/>
        <w:rPr>
          <w:rFonts w:asciiTheme="minorEastAsia" w:hAnsiTheme="minorEastAsia" w:cs="Times New Roman"/>
          <w:color w:val="000000" w:themeColor="text1"/>
          <w:sz w:val="24"/>
          <w:szCs w:val="24"/>
        </w:rPr>
      </w:pPr>
      <w:r w:rsidRPr="00EA612D">
        <w:rPr>
          <w:rFonts w:asciiTheme="minorEastAsia" w:hAnsiTheme="minorEastAsia" w:cs="Times New Roman" w:hint="eastAsia"/>
          <w:color w:val="000000" w:themeColor="text1"/>
          <w:sz w:val="24"/>
          <w:szCs w:val="24"/>
        </w:rPr>
        <w:t>（2）</w:t>
      </w:r>
      <w:r w:rsidR="00A35D1A" w:rsidRPr="00EA612D">
        <w:rPr>
          <w:rFonts w:asciiTheme="minorEastAsia" w:hAnsiTheme="minorEastAsia" w:cs="Times New Roman"/>
          <w:color w:val="000000" w:themeColor="text1"/>
          <w:sz w:val="24"/>
          <w:szCs w:val="24"/>
        </w:rPr>
        <w:t>2016</w:t>
      </w:r>
      <w:r w:rsidRPr="00EA612D">
        <w:rPr>
          <w:rFonts w:asciiTheme="minorEastAsia" w:hAnsiTheme="minorEastAsia" w:cs="Times New Roman"/>
          <w:color w:val="000000" w:themeColor="text1"/>
          <w:sz w:val="24"/>
          <w:szCs w:val="24"/>
        </w:rPr>
        <w:t>年计提比例大幅高于以往年度的原因、依据及合理性</w:t>
      </w:r>
    </w:p>
    <w:p w:rsidR="00A35D1A" w:rsidRPr="00EA612D" w:rsidRDefault="00304BB9" w:rsidP="00F663C7">
      <w:pPr>
        <w:spacing w:beforeLines="50" w:before="156" w:afterLines="50" w:after="156" w:line="360" w:lineRule="auto"/>
        <w:ind w:leftChars="50" w:left="105" w:rightChars="50" w:right="105" w:firstLineChars="200" w:firstLine="480"/>
        <w:rPr>
          <w:rFonts w:asciiTheme="minorEastAsia" w:hAnsiTheme="minorEastAsia" w:cs="Times New Roman"/>
          <w:color w:val="000000" w:themeColor="text1"/>
          <w:sz w:val="24"/>
          <w:szCs w:val="24"/>
        </w:rPr>
      </w:pPr>
      <w:r w:rsidRPr="00EA612D">
        <w:rPr>
          <w:rFonts w:asciiTheme="minorEastAsia" w:hAnsiTheme="minorEastAsia" w:cs="宋体" w:hint="eastAsia"/>
          <w:color w:val="000000" w:themeColor="text1"/>
          <w:sz w:val="24"/>
          <w:szCs w:val="24"/>
        </w:rPr>
        <w:t>①</w:t>
      </w:r>
      <w:r w:rsidR="00A35D1A" w:rsidRPr="00EA612D">
        <w:rPr>
          <w:rFonts w:asciiTheme="minorEastAsia" w:hAnsiTheme="minorEastAsia" w:cs="Times New Roman"/>
          <w:color w:val="000000" w:themeColor="text1"/>
          <w:sz w:val="24"/>
          <w:szCs w:val="24"/>
        </w:rPr>
        <w:t>集成电路设计板块</w:t>
      </w:r>
      <w:r w:rsidRPr="00EA612D">
        <w:rPr>
          <w:rFonts w:asciiTheme="minorEastAsia" w:hAnsiTheme="minorEastAsia" w:cs="Times New Roman"/>
          <w:color w:val="000000" w:themeColor="text1"/>
          <w:sz w:val="24"/>
          <w:szCs w:val="24"/>
        </w:rPr>
        <w:t>：</w:t>
      </w:r>
      <w:r w:rsidR="00A35D1A" w:rsidRPr="00EA612D">
        <w:rPr>
          <w:rFonts w:asciiTheme="minorEastAsia" w:hAnsiTheme="minorEastAsia" w:cs="Times New Roman"/>
          <w:color w:val="000000" w:themeColor="text1"/>
          <w:sz w:val="24"/>
          <w:szCs w:val="24"/>
        </w:rPr>
        <w:t>自2014年以来，公司一直将</w:t>
      </w:r>
      <w:proofErr w:type="gramStart"/>
      <w:r w:rsidR="00A35D1A" w:rsidRPr="00EA612D">
        <w:rPr>
          <w:rFonts w:asciiTheme="minorEastAsia" w:hAnsiTheme="minorEastAsia" w:cs="Times New Roman"/>
          <w:color w:val="000000" w:themeColor="text1"/>
          <w:sz w:val="24"/>
          <w:szCs w:val="24"/>
        </w:rPr>
        <w:t>泛金融</w:t>
      </w:r>
      <w:proofErr w:type="gramEnd"/>
      <w:r w:rsidR="00A35D1A" w:rsidRPr="00EA612D">
        <w:rPr>
          <w:rFonts w:asciiTheme="minorEastAsia" w:hAnsiTheme="minorEastAsia" w:cs="Times New Roman"/>
          <w:color w:val="000000" w:themeColor="text1"/>
          <w:sz w:val="24"/>
          <w:szCs w:val="24"/>
        </w:rPr>
        <w:t>卡芯片市场作为公司集成电路板块未来主要利润增长点，主要由子公司大唐微电子技术有限公司负责研发及对外销售，但由于受到市场准入资质等多方条件的严格控制，大唐微电子技术有限公司</w:t>
      </w:r>
      <w:r w:rsidR="006468A1" w:rsidRPr="00EA612D">
        <w:rPr>
          <w:rFonts w:asciiTheme="minorEastAsia" w:hAnsiTheme="minorEastAsia" w:cs="Times New Roman"/>
          <w:color w:val="000000" w:themeColor="text1"/>
          <w:sz w:val="24"/>
          <w:szCs w:val="24"/>
        </w:rPr>
        <w:t>直到2016年</w:t>
      </w:r>
      <w:r w:rsidR="00A35D1A" w:rsidRPr="00EA612D">
        <w:rPr>
          <w:rFonts w:asciiTheme="minorEastAsia" w:hAnsiTheme="minorEastAsia" w:cs="Times New Roman"/>
          <w:color w:val="000000" w:themeColor="text1"/>
          <w:sz w:val="24"/>
          <w:szCs w:val="24"/>
        </w:rPr>
        <w:t>才正式全面进入金融卡市场，公司进入时间较晚，且换卡高峰</w:t>
      </w:r>
      <w:r w:rsidR="006468A1" w:rsidRPr="00EA612D">
        <w:rPr>
          <w:rFonts w:asciiTheme="minorEastAsia" w:hAnsiTheme="minorEastAsia" w:cs="Times New Roman" w:hint="eastAsia"/>
          <w:color w:val="000000" w:themeColor="text1"/>
          <w:sz w:val="24"/>
          <w:szCs w:val="24"/>
        </w:rPr>
        <w:t>已</w:t>
      </w:r>
      <w:r w:rsidR="00A35D1A" w:rsidRPr="00EA612D">
        <w:rPr>
          <w:rFonts w:asciiTheme="minorEastAsia" w:hAnsiTheme="minorEastAsia" w:cs="Times New Roman"/>
          <w:color w:val="000000" w:themeColor="text1"/>
          <w:sz w:val="24"/>
          <w:szCs w:val="24"/>
        </w:rPr>
        <w:t>过，金融IC卡每年新发卡量已呈明显下降趋势，特别是</w:t>
      </w:r>
      <w:r w:rsidR="00733FCF" w:rsidRPr="00EA612D">
        <w:rPr>
          <w:rFonts w:asciiTheme="minorEastAsia" w:hAnsiTheme="minorEastAsia" w:cs="Times New Roman"/>
          <w:color w:val="000000" w:themeColor="text1"/>
          <w:sz w:val="24"/>
          <w:szCs w:val="24"/>
        </w:rPr>
        <w:t>2016年</w:t>
      </w:r>
      <w:r w:rsidR="00A35D1A" w:rsidRPr="00EA612D">
        <w:rPr>
          <w:rFonts w:asciiTheme="minorEastAsia" w:hAnsiTheme="minorEastAsia" w:cs="Times New Roman"/>
          <w:color w:val="000000" w:themeColor="text1"/>
          <w:sz w:val="24"/>
          <w:szCs w:val="24"/>
        </w:rPr>
        <w:t>金融监管机构对个人申领银行卡的数量限制政策，导致发卡量进一步下降，且金融IC卡在终端用户的价格持续下降，部分已跌破成本价。相关芯片</w:t>
      </w:r>
      <w:r w:rsidR="000E606B" w:rsidRPr="00EA612D">
        <w:rPr>
          <w:rFonts w:asciiTheme="minorEastAsia" w:hAnsiTheme="minorEastAsia" w:cs="Times New Roman" w:hint="eastAsia"/>
          <w:color w:val="000000" w:themeColor="text1"/>
          <w:sz w:val="24"/>
          <w:szCs w:val="24"/>
        </w:rPr>
        <w:t>的生产成本</w:t>
      </w:r>
      <w:r w:rsidR="00A35D1A" w:rsidRPr="00EA612D">
        <w:rPr>
          <w:rFonts w:asciiTheme="minorEastAsia" w:hAnsiTheme="minorEastAsia" w:cs="Times New Roman"/>
          <w:color w:val="000000" w:themeColor="text1"/>
          <w:sz w:val="24"/>
          <w:szCs w:val="24"/>
        </w:rPr>
        <w:t>较高，加上印刷及系统维护费用，公司金融卡芯片毛利出现倒挂。</w:t>
      </w:r>
      <w:r w:rsidR="000E606B" w:rsidRPr="00EA612D">
        <w:rPr>
          <w:rFonts w:asciiTheme="minorEastAsia" w:hAnsiTheme="minorEastAsia" w:cs="Times New Roman" w:hint="eastAsia"/>
          <w:color w:val="000000" w:themeColor="text1"/>
          <w:sz w:val="24"/>
          <w:szCs w:val="24"/>
        </w:rPr>
        <w:t>公司对金融卡芯片及产品进行减值计提。</w:t>
      </w:r>
    </w:p>
    <w:p w:rsidR="00A35D1A" w:rsidRPr="00EA612D" w:rsidRDefault="00A35D1A" w:rsidP="002765B3">
      <w:pPr>
        <w:spacing w:beforeLines="50" w:before="156" w:afterLines="50" w:after="156" w:line="360" w:lineRule="auto"/>
        <w:ind w:leftChars="50" w:left="105" w:rightChars="50" w:right="105" w:firstLineChars="200" w:firstLine="480"/>
        <w:rPr>
          <w:rFonts w:asciiTheme="minorEastAsia" w:hAnsiTheme="minorEastAsia" w:cs="Times New Roman"/>
          <w:color w:val="000000" w:themeColor="text1"/>
          <w:sz w:val="24"/>
          <w:szCs w:val="24"/>
        </w:rPr>
      </w:pPr>
      <w:r w:rsidRPr="00EA612D">
        <w:rPr>
          <w:rFonts w:asciiTheme="minorEastAsia" w:hAnsiTheme="minorEastAsia" w:cs="Times New Roman"/>
          <w:color w:val="000000" w:themeColor="text1"/>
          <w:sz w:val="24"/>
          <w:szCs w:val="24"/>
        </w:rPr>
        <w:t>2016年末，大唐微电子技术有限公司将全部存货进行减值测试，期末根据存货可变现净值与存货账面价值之间的差额计提存货跌价准备4,252.98万元；</w:t>
      </w:r>
      <w:proofErr w:type="gramStart"/>
      <w:r w:rsidRPr="00EA612D">
        <w:rPr>
          <w:rFonts w:asciiTheme="minorEastAsia" w:hAnsiTheme="minorEastAsia" w:cs="Times New Roman"/>
          <w:color w:val="000000" w:themeColor="text1"/>
          <w:sz w:val="24"/>
          <w:szCs w:val="24"/>
        </w:rPr>
        <w:t>联芯科技</w:t>
      </w:r>
      <w:proofErr w:type="gramEnd"/>
      <w:r w:rsidRPr="00EA612D">
        <w:rPr>
          <w:rFonts w:asciiTheme="minorEastAsia" w:hAnsiTheme="minorEastAsia" w:cs="Times New Roman"/>
          <w:color w:val="000000" w:themeColor="text1"/>
          <w:sz w:val="24"/>
          <w:szCs w:val="24"/>
        </w:rPr>
        <w:t>有限公司根据同类产品的销售价格测算存货可变现净值与存货账面价值之间的差额计提存货跌价准备197.72万元。</w:t>
      </w:r>
    </w:p>
    <w:p w:rsidR="00A35D1A" w:rsidRPr="00EA612D" w:rsidRDefault="00304BB9" w:rsidP="00F663C7">
      <w:pPr>
        <w:pStyle w:val="a6"/>
        <w:tabs>
          <w:tab w:val="left" w:pos="851"/>
        </w:tabs>
        <w:spacing w:beforeLines="50" w:before="156" w:afterLines="50" w:after="156" w:line="360" w:lineRule="auto"/>
        <w:ind w:leftChars="50" w:left="105" w:rightChars="50" w:right="105" w:firstLine="480"/>
        <w:rPr>
          <w:rFonts w:asciiTheme="minorEastAsia" w:hAnsiTheme="minorEastAsia" w:cs="Times New Roman"/>
          <w:color w:val="000000" w:themeColor="text1"/>
          <w:sz w:val="24"/>
          <w:szCs w:val="24"/>
        </w:rPr>
      </w:pPr>
      <w:r w:rsidRPr="00EA612D">
        <w:rPr>
          <w:rFonts w:asciiTheme="minorEastAsia" w:hAnsiTheme="minorEastAsia" w:cs="宋体" w:hint="eastAsia"/>
          <w:color w:val="000000" w:themeColor="text1"/>
          <w:sz w:val="24"/>
          <w:szCs w:val="24"/>
        </w:rPr>
        <w:t>②</w:t>
      </w:r>
      <w:r w:rsidR="00A35D1A" w:rsidRPr="00EA612D">
        <w:rPr>
          <w:rFonts w:asciiTheme="minorEastAsia" w:hAnsiTheme="minorEastAsia" w:cs="Times New Roman"/>
          <w:color w:val="000000" w:themeColor="text1"/>
          <w:sz w:val="24"/>
          <w:szCs w:val="24"/>
        </w:rPr>
        <w:t>终端设计板块</w:t>
      </w:r>
      <w:r w:rsidR="00012F86" w:rsidRPr="00EA612D">
        <w:rPr>
          <w:rFonts w:asciiTheme="minorEastAsia" w:hAnsiTheme="minorEastAsia" w:cs="Times New Roman" w:hint="eastAsia"/>
          <w:color w:val="000000" w:themeColor="text1"/>
          <w:sz w:val="24"/>
          <w:szCs w:val="24"/>
        </w:rPr>
        <w:t>：</w:t>
      </w:r>
      <w:r w:rsidR="00A35D1A" w:rsidRPr="00EA612D">
        <w:rPr>
          <w:rFonts w:asciiTheme="minorEastAsia" w:hAnsiTheme="minorEastAsia" w:cs="Times New Roman"/>
          <w:color w:val="000000" w:themeColor="text1"/>
          <w:sz w:val="24"/>
          <w:szCs w:val="24"/>
        </w:rPr>
        <w:t>2016年，</w:t>
      </w:r>
      <w:r w:rsidR="00E7480B" w:rsidRPr="00EA612D">
        <w:rPr>
          <w:rFonts w:asciiTheme="minorEastAsia" w:hAnsiTheme="minorEastAsia" w:cs="Times New Roman"/>
          <w:color w:val="000000" w:themeColor="text1"/>
          <w:sz w:val="24"/>
          <w:szCs w:val="24"/>
        </w:rPr>
        <w:t>在4G终端换机高峰过后，</w:t>
      </w:r>
      <w:r w:rsidR="006468A1" w:rsidRPr="00EA612D">
        <w:rPr>
          <w:rFonts w:asciiTheme="minorEastAsia" w:hAnsiTheme="minorEastAsia" w:cs="Times New Roman"/>
          <w:color w:val="000000" w:themeColor="text1"/>
          <w:sz w:val="24"/>
          <w:szCs w:val="24"/>
        </w:rPr>
        <w:t>全球智能手机市场增速减缓，产业</w:t>
      </w:r>
      <w:r w:rsidR="00A35D1A" w:rsidRPr="00EA612D">
        <w:rPr>
          <w:rFonts w:asciiTheme="minorEastAsia" w:hAnsiTheme="minorEastAsia" w:cs="Times New Roman"/>
          <w:color w:val="000000" w:themeColor="text1"/>
          <w:sz w:val="24"/>
          <w:szCs w:val="24"/>
        </w:rPr>
        <w:t>增长乏力。</w:t>
      </w:r>
    </w:p>
    <w:p w:rsidR="00A35D1A" w:rsidRPr="00EA612D" w:rsidRDefault="00A35D1A" w:rsidP="00F663C7">
      <w:pPr>
        <w:spacing w:beforeLines="50" w:before="156" w:afterLines="50" w:after="156" w:line="360" w:lineRule="auto"/>
        <w:ind w:leftChars="50" w:left="105" w:rightChars="50" w:right="105" w:firstLineChars="200" w:firstLine="480"/>
        <w:rPr>
          <w:rFonts w:asciiTheme="minorEastAsia" w:hAnsiTheme="minorEastAsia" w:cs="Times New Roman"/>
          <w:color w:val="000000" w:themeColor="text1"/>
          <w:sz w:val="24"/>
          <w:szCs w:val="24"/>
        </w:rPr>
      </w:pPr>
      <w:r w:rsidRPr="00EA612D">
        <w:rPr>
          <w:rFonts w:asciiTheme="minorEastAsia" w:hAnsiTheme="minorEastAsia" w:cs="Times New Roman"/>
          <w:color w:val="000000" w:themeColor="text1"/>
          <w:sz w:val="24"/>
          <w:szCs w:val="24"/>
        </w:rPr>
        <w:lastRenderedPageBreak/>
        <w:t>随着手机市场的品牌</w:t>
      </w:r>
      <w:r w:rsidR="00E7480B" w:rsidRPr="00EA612D">
        <w:rPr>
          <w:rFonts w:asciiTheme="minorEastAsia" w:hAnsiTheme="minorEastAsia" w:cs="Times New Roman" w:hint="eastAsia"/>
          <w:color w:val="000000" w:themeColor="text1"/>
          <w:sz w:val="24"/>
          <w:szCs w:val="24"/>
        </w:rPr>
        <w:t>日趋</w:t>
      </w:r>
      <w:r w:rsidRPr="00EA612D">
        <w:rPr>
          <w:rFonts w:asciiTheme="minorEastAsia" w:hAnsiTheme="minorEastAsia" w:cs="Times New Roman"/>
          <w:color w:val="000000" w:themeColor="text1"/>
          <w:sz w:val="24"/>
          <w:szCs w:val="24"/>
        </w:rPr>
        <w:t>集中，传统的芯片、方案、手机品牌厂商分工合作的模式正在发生变化</w:t>
      </w:r>
      <w:r w:rsidR="000E606B" w:rsidRPr="00EA612D">
        <w:rPr>
          <w:rFonts w:asciiTheme="minorEastAsia" w:hAnsiTheme="minorEastAsia" w:cs="Times New Roman" w:hint="eastAsia"/>
          <w:color w:val="000000" w:themeColor="text1"/>
          <w:sz w:val="24"/>
          <w:szCs w:val="24"/>
        </w:rPr>
        <w:t>，</w:t>
      </w:r>
      <w:r w:rsidR="00E7480B" w:rsidRPr="00EA612D">
        <w:rPr>
          <w:rFonts w:asciiTheme="minorEastAsia" w:hAnsiTheme="minorEastAsia" w:cs="Times New Roman" w:hint="eastAsia"/>
          <w:color w:val="000000" w:themeColor="text1"/>
          <w:sz w:val="24"/>
          <w:szCs w:val="24"/>
        </w:rPr>
        <w:t>主流手机</w:t>
      </w:r>
      <w:r w:rsidRPr="00EA612D">
        <w:rPr>
          <w:rFonts w:asciiTheme="minorEastAsia" w:hAnsiTheme="minorEastAsia" w:cs="Times New Roman"/>
          <w:color w:val="000000" w:themeColor="text1"/>
          <w:sz w:val="24"/>
          <w:szCs w:val="24"/>
        </w:rPr>
        <w:t>终端厂商</w:t>
      </w:r>
      <w:r w:rsidR="00E7480B" w:rsidRPr="00EA612D">
        <w:rPr>
          <w:rFonts w:asciiTheme="minorEastAsia" w:hAnsiTheme="minorEastAsia" w:cs="Times New Roman" w:hint="eastAsia"/>
          <w:color w:val="000000" w:themeColor="text1"/>
          <w:sz w:val="24"/>
          <w:szCs w:val="24"/>
        </w:rPr>
        <w:t>加强自</w:t>
      </w:r>
      <w:proofErr w:type="gramStart"/>
      <w:r w:rsidR="00E7480B" w:rsidRPr="00EA612D">
        <w:rPr>
          <w:rFonts w:asciiTheme="minorEastAsia" w:hAnsiTheme="minorEastAsia" w:cs="Times New Roman" w:hint="eastAsia"/>
          <w:color w:val="000000" w:themeColor="text1"/>
          <w:sz w:val="24"/>
          <w:szCs w:val="24"/>
        </w:rPr>
        <w:t>研</w:t>
      </w:r>
      <w:proofErr w:type="gramEnd"/>
      <w:r w:rsidRPr="00EA612D">
        <w:rPr>
          <w:rFonts w:asciiTheme="minorEastAsia" w:hAnsiTheme="minorEastAsia" w:cs="Times New Roman"/>
          <w:color w:val="000000" w:themeColor="text1"/>
          <w:sz w:val="24"/>
          <w:szCs w:val="24"/>
        </w:rPr>
        <w:t>代工</w:t>
      </w:r>
      <w:r w:rsidR="00E7480B" w:rsidRPr="00EA612D">
        <w:rPr>
          <w:rFonts w:asciiTheme="minorEastAsia" w:hAnsiTheme="minorEastAsia" w:cs="Times New Roman" w:hint="eastAsia"/>
          <w:color w:val="000000" w:themeColor="text1"/>
          <w:sz w:val="24"/>
          <w:szCs w:val="24"/>
        </w:rPr>
        <w:t>的</w:t>
      </w:r>
      <w:r w:rsidRPr="00EA612D">
        <w:rPr>
          <w:rFonts w:asciiTheme="minorEastAsia" w:hAnsiTheme="minorEastAsia" w:cs="Times New Roman"/>
          <w:color w:val="000000" w:themeColor="text1"/>
          <w:sz w:val="24"/>
          <w:szCs w:val="24"/>
        </w:rPr>
        <w:t>模式</w:t>
      </w:r>
      <w:r w:rsidR="00E7480B" w:rsidRPr="00EA612D">
        <w:rPr>
          <w:rFonts w:asciiTheme="minorEastAsia" w:hAnsiTheme="minorEastAsia" w:cs="Times New Roman" w:hint="eastAsia"/>
          <w:color w:val="000000" w:themeColor="text1"/>
          <w:sz w:val="24"/>
          <w:szCs w:val="24"/>
        </w:rPr>
        <w:t>日渐式微</w:t>
      </w:r>
      <w:r w:rsidRPr="00EA612D">
        <w:rPr>
          <w:rFonts w:asciiTheme="minorEastAsia" w:hAnsiTheme="minorEastAsia" w:cs="Times New Roman"/>
          <w:color w:val="000000" w:themeColor="text1"/>
          <w:sz w:val="24"/>
          <w:szCs w:val="24"/>
        </w:rPr>
        <w:t>，</w:t>
      </w:r>
      <w:r w:rsidR="00E7480B" w:rsidRPr="00EA612D">
        <w:rPr>
          <w:rFonts w:asciiTheme="minorEastAsia" w:hAnsiTheme="minorEastAsia" w:cs="Times New Roman"/>
          <w:color w:val="000000" w:themeColor="text1"/>
          <w:sz w:val="24"/>
          <w:szCs w:val="24"/>
        </w:rPr>
        <w:t>以销售方案或者主板（PCBA）收取设计费的模式受到较大冲击</w:t>
      </w:r>
      <w:r w:rsidR="00E7480B" w:rsidRPr="00EA612D">
        <w:rPr>
          <w:rFonts w:asciiTheme="minorEastAsia" w:hAnsiTheme="minorEastAsia" w:cs="Times New Roman" w:hint="eastAsia"/>
          <w:color w:val="000000" w:themeColor="text1"/>
          <w:sz w:val="24"/>
          <w:szCs w:val="24"/>
        </w:rPr>
        <w:t>，</w:t>
      </w:r>
      <w:r w:rsidRPr="00EA612D">
        <w:rPr>
          <w:rFonts w:asciiTheme="minorEastAsia" w:hAnsiTheme="minorEastAsia" w:cs="Times New Roman"/>
          <w:color w:val="000000" w:themeColor="text1"/>
          <w:sz w:val="24"/>
          <w:szCs w:val="24"/>
        </w:rPr>
        <w:t>市场占有率快速下降</w:t>
      </w:r>
      <w:r w:rsidR="004033F8" w:rsidRPr="00EA612D">
        <w:rPr>
          <w:rFonts w:asciiTheme="minorEastAsia" w:hAnsiTheme="minorEastAsia" w:cs="Times New Roman" w:hint="eastAsia"/>
          <w:color w:val="000000" w:themeColor="text1"/>
          <w:sz w:val="24"/>
          <w:szCs w:val="24"/>
        </w:rPr>
        <w:t>。</w:t>
      </w:r>
    </w:p>
    <w:p w:rsidR="00E7480B" w:rsidRPr="00EA612D" w:rsidRDefault="00AA2AFF" w:rsidP="00F663C7">
      <w:pPr>
        <w:spacing w:beforeLines="50" w:before="156" w:afterLines="50" w:after="156" w:line="360" w:lineRule="auto"/>
        <w:ind w:leftChars="50" w:left="105" w:rightChars="50" w:right="105" w:firstLineChars="200" w:firstLine="480"/>
        <w:rPr>
          <w:rFonts w:asciiTheme="minorEastAsia" w:hAnsiTheme="minorEastAsia" w:cs="Times New Roman"/>
          <w:color w:val="000000" w:themeColor="text1"/>
          <w:sz w:val="24"/>
          <w:szCs w:val="24"/>
        </w:rPr>
      </w:pPr>
      <w:r w:rsidRPr="00EA612D">
        <w:rPr>
          <w:rFonts w:asciiTheme="minorEastAsia" w:hAnsiTheme="minorEastAsia" w:cs="Times New Roman" w:hint="eastAsia"/>
          <w:color w:val="000000" w:themeColor="text1"/>
          <w:sz w:val="24"/>
          <w:szCs w:val="24"/>
        </w:rPr>
        <w:t>2016年4G智能终端大规模普及后，随着产品和技术的更新换代，3G终端及其他制式的终端产品存货贬值较大。</w:t>
      </w:r>
    </w:p>
    <w:p w:rsidR="00A35D1A" w:rsidRPr="00EA612D" w:rsidRDefault="00A35D1A" w:rsidP="00F663C7">
      <w:pPr>
        <w:spacing w:beforeLines="50" w:before="156" w:afterLines="50" w:after="156" w:line="360" w:lineRule="auto"/>
        <w:ind w:leftChars="50" w:left="105" w:rightChars="50" w:right="105" w:firstLineChars="200" w:firstLine="480"/>
        <w:rPr>
          <w:rFonts w:asciiTheme="minorEastAsia" w:hAnsiTheme="minorEastAsia" w:cs="Times New Roman"/>
          <w:color w:val="000000" w:themeColor="text1"/>
          <w:sz w:val="24"/>
          <w:szCs w:val="24"/>
        </w:rPr>
      </w:pPr>
      <w:r w:rsidRPr="00EA612D">
        <w:rPr>
          <w:rFonts w:asciiTheme="minorEastAsia" w:hAnsiTheme="minorEastAsia" w:cs="Times New Roman"/>
          <w:color w:val="000000" w:themeColor="text1"/>
          <w:sz w:val="24"/>
          <w:szCs w:val="24"/>
        </w:rPr>
        <w:t>2016年末，终端设计板块</w:t>
      </w:r>
      <w:r w:rsidR="000230C4" w:rsidRPr="00EA612D">
        <w:rPr>
          <w:rFonts w:asciiTheme="minorEastAsia" w:hAnsiTheme="minorEastAsia" w:cs="Times New Roman" w:hint="eastAsia"/>
          <w:color w:val="000000" w:themeColor="text1"/>
          <w:sz w:val="24"/>
          <w:szCs w:val="24"/>
        </w:rPr>
        <w:t>内</w:t>
      </w:r>
      <w:r w:rsidRPr="00EA612D">
        <w:rPr>
          <w:rFonts w:asciiTheme="minorEastAsia" w:hAnsiTheme="minorEastAsia" w:cs="Times New Roman"/>
          <w:color w:val="000000" w:themeColor="text1"/>
          <w:sz w:val="24"/>
          <w:szCs w:val="24"/>
        </w:rPr>
        <w:t>子公司对存在减值迹象的存货进行存货减值测试，其中上海浦歌电子有限公司依据</w:t>
      </w:r>
      <w:r w:rsidR="00D0483C" w:rsidRPr="00EA612D">
        <w:rPr>
          <w:rFonts w:asciiTheme="minorEastAsia" w:hAnsiTheme="minorEastAsia" w:cs="Times New Roman" w:hint="eastAsia"/>
          <w:color w:val="000000" w:themeColor="text1"/>
          <w:sz w:val="24"/>
          <w:szCs w:val="24"/>
        </w:rPr>
        <w:t>评估机构</w:t>
      </w:r>
      <w:r w:rsidRPr="00EA612D">
        <w:rPr>
          <w:rFonts w:asciiTheme="minorEastAsia" w:hAnsiTheme="minorEastAsia" w:cs="Times New Roman"/>
          <w:color w:val="000000" w:themeColor="text1"/>
          <w:sz w:val="24"/>
          <w:szCs w:val="24"/>
        </w:rPr>
        <w:t>出具的《评估报告》，</w:t>
      </w:r>
      <w:r w:rsidR="00D0483C" w:rsidRPr="00EA612D">
        <w:rPr>
          <w:rFonts w:asciiTheme="minorEastAsia" w:hAnsiTheme="minorEastAsia" w:cs="Times New Roman" w:hint="eastAsia"/>
          <w:color w:val="000000" w:themeColor="text1"/>
          <w:sz w:val="24"/>
          <w:szCs w:val="24"/>
        </w:rPr>
        <w:t>按照</w:t>
      </w:r>
      <w:r w:rsidRPr="00EA612D">
        <w:rPr>
          <w:rFonts w:asciiTheme="minorEastAsia" w:hAnsiTheme="minorEastAsia" w:cs="Times New Roman"/>
          <w:color w:val="000000" w:themeColor="text1"/>
          <w:sz w:val="24"/>
          <w:szCs w:val="24"/>
        </w:rPr>
        <w:t>存货的可变现净值与存货账面价值之间的差额计提存货跌价准备5,998.73万元；</w:t>
      </w:r>
      <w:r w:rsidR="000230C4" w:rsidRPr="00EA612D">
        <w:rPr>
          <w:rFonts w:asciiTheme="minorEastAsia" w:hAnsiTheme="minorEastAsia" w:cs="Times New Roman" w:hint="eastAsia"/>
          <w:color w:val="000000" w:themeColor="text1"/>
          <w:sz w:val="24"/>
          <w:szCs w:val="24"/>
        </w:rPr>
        <w:t>大唐终端设备有限公司和盛耀无线通讯科技（北京）有限公司</w:t>
      </w:r>
      <w:r w:rsidR="000230C4" w:rsidRPr="00EA612D">
        <w:rPr>
          <w:rFonts w:asciiTheme="minorEastAsia" w:hAnsiTheme="minorEastAsia" w:cs="Times New Roman"/>
          <w:color w:val="000000" w:themeColor="text1"/>
          <w:sz w:val="24"/>
          <w:szCs w:val="24"/>
        </w:rPr>
        <w:t>依据</w:t>
      </w:r>
      <w:r w:rsidR="00D0483C" w:rsidRPr="00EA612D">
        <w:rPr>
          <w:rFonts w:asciiTheme="minorEastAsia" w:hAnsiTheme="minorEastAsia" w:cs="Times New Roman" w:hint="eastAsia"/>
          <w:color w:val="000000" w:themeColor="text1"/>
          <w:sz w:val="24"/>
          <w:szCs w:val="24"/>
        </w:rPr>
        <w:t>评估机构</w:t>
      </w:r>
      <w:r w:rsidR="000230C4" w:rsidRPr="00EA612D">
        <w:rPr>
          <w:rFonts w:asciiTheme="minorEastAsia" w:hAnsiTheme="minorEastAsia" w:cs="Times New Roman"/>
          <w:color w:val="000000" w:themeColor="text1"/>
          <w:sz w:val="24"/>
          <w:szCs w:val="24"/>
        </w:rPr>
        <w:t>出具的《评估报告》，</w:t>
      </w:r>
      <w:r w:rsidR="00D0483C" w:rsidRPr="00EA612D">
        <w:rPr>
          <w:rFonts w:asciiTheme="minorEastAsia" w:hAnsiTheme="minorEastAsia" w:cs="Times New Roman" w:hint="eastAsia"/>
          <w:color w:val="000000" w:themeColor="text1"/>
          <w:sz w:val="24"/>
          <w:szCs w:val="24"/>
        </w:rPr>
        <w:t>按照</w:t>
      </w:r>
      <w:r w:rsidRPr="00EA612D">
        <w:rPr>
          <w:rFonts w:asciiTheme="minorEastAsia" w:hAnsiTheme="minorEastAsia" w:cs="Times New Roman"/>
          <w:color w:val="000000" w:themeColor="text1"/>
          <w:sz w:val="24"/>
          <w:szCs w:val="24"/>
        </w:rPr>
        <w:t>存货可变现净值与存货账面价值之间的差额计提存货跌价准备6,916.39万元。</w:t>
      </w:r>
    </w:p>
    <w:p w:rsidR="00A35D1A" w:rsidRPr="00EA612D" w:rsidRDefault="00304BB9" w:rsidP="00F663C7">
      <w:pPr>
        <w:spacing w:beforeLines="50" w:before="156" w:afterLines="50" w:after="156" w:line="360" w:lineRule="auto"/>
        <w:ind w:leftChars="50" w:left="105" w:rightChars="50" w:right="105" w:firstLineChars="200" w:firstLine="480"/>
        <w:rPr>
          <w:rFonts w:asciiTheme="minorEastAsia" w:hAnsiTheme="minorEastAsia" w:cs="Times New Roman"/>
          <w:color w:val="000000" w:themeColor="text1"/>
          <w:sz w:val="24"/>
          <w:szCs w:val="24"/>
        </w:rPr>
      </w:pPr>
      <w:r w:rsidRPr="00EA612D">
        <w:rPr>
          <w:rFonts w:asciiTheme="minorEastAsia" w:hAnsiTheme="minorEastAsia" w:cs="宋体" w:hint="eastAsia"/>
          <w:color w:val="000000" w:themeColor="text1"/>
          <w:sz w:val="24"/>
          <w:szCs w:val="24"/>
        </w:rPr>
        <w:t>③</w:t>
      </w:r>
      <w:r w:rsidRPr="00EA612D">
        <w:rPr>
          <w:rFonts w:asciiTheme="minorEastAsia" w:hAnsiTheme="minorEastAsia" w:cs="Times New Roman"/>
          <w:color w:val="000000" w:themeColor="text1"/>
          <w:sz w:val="24"/>
          <w:szCs w:val="24"/>
        </w:rPr>
        <w:t>软件和应用板块：</w:t>
      </w:r>
      <w:r w:rsidR="00A35D1A" w:rsidRPr="00EA612D">
        <w:rPr>
          <w:rFonts w:asciiTheme="minorEastAsia" w:hAnsiTheme="minorEastAsia" w:cs="Times New Roman"/>
          <w:color w:val="000000" w:themeColor="text1"/>
          <w:sz w:val="24"/>
          <w:szCs w:val="24"/>
        </w:rPr>
        <w:t>随着蜂窝网络的覆盖和速率、服务不断提升，LTE/LTE-A系统所体现出的相比WCDMA/TDS-CDMA系统的跨越式优势，正在吸引越来越多的接入类业务向可以灵活适配、裁剪的蜂窝网络迁移，即便在传统的局域接入领域，2016年新推出</w:t>
      </w:r>
      <w:proofErr w:type="gramStart"/>
      <w:r w:rsidR="00A35D1A" w:rsidRPr="00EA612D">
        <w:rPr>
          <w:rFonts w:asciiTheme="minorEastAsia" w:hAnsiTheme="minorEastAsia" w:cs="Times New Roman"/>
          <w:color w:val="000000" w:themeColor="text1"/>
          <w:sz w:val="24"/>
          <w:szCs w:val="24"/>
        </w:rPr>
        <w:t>的蓝牙</w:t>
      </w:r>
      <w:proofErr w:type="gramEnd"/>
      <w:r w:rsidR="00A35D1A" w:rsidRPr="00EA612D">
        <w:rPr>
          <w:rFonts w:asciiTheme="minorEastAsia" w:hAnsiTheme="minorEastAsia" w:cs="Times New Roman"/>
          <w:color w:val="000000" w:themeColor="text1"/>
          <w:sz w:val="24"/>
          <w:szCs w:val="24"/>
        </w:rPr>
        <w:t>5.0，Zigbee3.0技术相比前代技术更趋于集中化，系统集成的利润空间大幅下降。仅支持前期老旧制式的设备、网络正快速失去市场，价值陡降。</w:t>
      </w:r>
    </w:p>
    <w:p w:rsidR="00A35D1A" w:rsidRPr="00EA612D" w:rsidRDefault="00A35D1A" w:rsidP="00F663C7">
      <w:pPr>
        <w:spacing w:beforeLines="50" w:before="156" w:afterLines="50" w:after="156" w:line="360" w:lineRule="auto"/>
        <w:ind w:leftChars="50" w:left="105" w:rightChars="50" w:right="105" w:firstLineChars="200" w:firstLine="480"/>
        <w:rPr>
          <w:rFonts w:asciiTheme="minorEastAsia" w:hAnsiTheme="minorEastAsia" w:cs="Times New Roman"/>
          <w:color w:val="000000" w:themeColor="text1"/>
          <w:sz w:val="24"/>
          <w:szCs w:val="24"/>
        </w:rPr>
      </w:pPr>
      <w:r w:rsidRPr="00EA612D">
        <w:rPr>
          <w:rFonts w:asciiTheme="minorEastAsia" w:hAnsiTheme="minorEastAsia" w:cs="Times New Roman"/>
          <w:color w:val="000000" w:themeColor="text1"/>
          <w:sz w:val="24"/>
          <w:szCs w:val="24"/>
        </w:rPr>
        <w:t>2016年末，软件和应用板块</w:t>
      </w:r>
      <w:r w:rsidR="000230C4" w:rsidRPr="00EA612D">
        <w:rPr>
          <w:rFonts w:asciiTheme="minorEastAsia" w:hAnsiTheme="minorEastAsia" w:cs="Times New Roman" w:hint="eastAsia"/>
          <w:color w:val="000000" w:themeColor="text1"/>
          <w:sz w:val="24"/>
          <w:szCs w:val="24"/>
        </w:rPr>
        <w:t>内</w:t>
      </w:r>
      <w:r w:rsidRPr="00EA612D">
        <w:rPr>
          <w:rFonts w:asciiTheme="minorEastAsia" w:hAnsiTheme="minorEastAsia" w:cs="Times New Roman"/>
          <w:color w:val="000000" w:themeColor="text1"/>
          <w:sz w:val="24"/>
          <w:szCs w:val="24"/>
        </w:rPr>
        <w:t>子公司对存在减值迹象的存货进行存货减值测试，其中，西安大</w:t>
      </w:r>
      <w:proofErr w:type="gramStart"/>
      <w:r w:rsidRPr="00EA612D">
        <w:rPr>
          <w:rFonts w:asciiTheme="minorEastAsia" w:hAnsiTheme="minorEastAsia" w:cs="Times New Roman"/>
          <w:color w:val="000000" w:themeColor="text1"/>
          <w:sz w:val="24"/>
          <w:szCs w:val="24"/>
        </w:rPr>
        <w:t>唐依据</w:t>
      </w:r>
      <w:proofErr w:type="gramEnd"/>
      <w:r w:rsidR="00D0483C" w:rsidRPr="00EA612D">
        <w:rPr>
          <w:rFonts w:asciiTheme="minorEastAsia" w:hAnsiTheme="minorEastAsia" w:cs="Times New Roman" w:hint="eastAsia"/>
          <w:color w:val="000000" w:themeColor="text1"/>
          <w:sz w:val="24"/>
          <w:szCs w:val="24"/>
        </w:rPr>
        <w:t>评估机构</w:t>
      </w:r>
      <w:r w:rsidRPr="00EA612D">
        <w:rPr>
          <w:rFonts w:asciiTheme="minorEastAsia" w:hAnsiTheme="minorEastAsia" w:cs="Times New Roman"/>
          <w:color w:val="000000" w:themeColor="text1"/>
          <w:sz w:val="24"/>
          <w:szCs w:val="24"/>
        </w:rPr>
        <w:t>出具的《评估报告》，</w:t>
      </w:r>
      <w:r w:rsidR="00D0483C" w:rsidRPr="00EA612D">
        <w:rPr>
          <w:rFonts w:asciiTheme="minorEastAsia" w:hAnsiTheme="minorEastAsia" w:cs="Times New Roman" w:hint="eastAsia"/>
          <w:color w:val="000000" w:themeColor="text1"/>
          <w:sz w:val="24"/>
          <w:szCs w:val="24"/>
        </w:rPr>
        <w:t>按照</w:t>
      </w:r>
      <w:r w:rsidRPr="00EA612D">
        <w:rPr>
          <w:rFonts w:asciiTheme="minorEastAsia" w:hAnsiTheme="minorEastAsia" w:cs="Times New Roman"/>
          <w:color w:val="000000" w:themeColor="text1"/>
          <w:sz w:val="24"/>
          <w:szCs w:val="24"/>
        </w:rPr>
        <w:t>存货的可变现净值与存货账面价值之间的差额计提存货跌价准备8,765.88万元。其他子公司依据同类产品的销售价格或者评估价值测算计提存货跌价准备</w:t>
      </w:r>
      <w:r w:rsidR="00E3280C" w:rsidRPr="00EA612D">
        <w:rPr>
          <w:rFonts w:asciiTheme="minorEastAsia" w:hAnsiTheme="minorEastAsia" w:cs="Times New Roman"/>
          <w:color w:val="000000" w:themeColor="text1"/>
          <w:sz w:val="24"/>
          <w:szCs w:val="24"/>
        </w:rPr>
        <w:t>2,727.</w:t>
      </w:r>
      <w:r w:rsidR="00E3280C" w:rsidRPr="00EA612D">
        <w:rPr>
          <w:rFonts w:asciiTheme="minorEastAsia" w:hAnsiTheme="minorEastAsia" w:cs="Times New Roman" w:hint="eastAsia"/>
          <w:color w:val="000000" w:themeColor="text1"/>
          <w:sz w:val="24"/>
          <w:szCs w:val="24"/>
        </w:rPr>
        <w:t>91</w:t>
      </w:r>
      <w:r w:rsidRPr="00EA612D">
        <w:rPr>
          <w:rFonts w:asciiTheme="minorEastAsia" w:hAnsiTheme="minorEastAsia" w:cs="Times New Roman"/>
          <w:color w:val="000000" w:themeColor="text1"/>
          <w:sz w:val="24"/>
          <w:szCs w:val="24"/>
        </w:rPr>
        <w:t>万元。</w:t>
      </w:r>
    </w:p>
    <w:p w:rsidR="00A35D1A" w:rsidRPr="00EA612D" w:rsidRDefault="00A35D1A" w:rsidP="00F663C7">
      <w:pPr>
        <w:spacing w:beforeLines="50" w:before="156" w:afterLines="50" w:after="156" w:line="360" w:lineRule="auto"/>
        <w:ind w:leftChars="50" w:left="105" w:rightChars="50" w:right="105" w:firstLineChars="200" w:firstLine="480"/>
        <w:jc w:val="left"/>
        <w:rPr>
          <w:rFonts w:asciiTheme="minorEastAsia" w:hAnsiTheme="minorEastAsia" w:cs="Times New Roman"/>
          <w:color w:val="000000" w:themeColor="text1"/>
          <w:sz w:val="24"/>
          <w:szCs w:val="24"/>
        </w:rPr>
      </w:pPr>
      <w:r w:rsidRPr="00EA612D">
        <w:rPr>
          <w:rFonts w:asciiTheme="minorEastAsia" w:hAnsiTheme="minorEastAsia" w:cs="Times New Roman"/>
          <w:color w:val="000000" w:themeColor="text1"/>
          <w:sz w:val="24"/>
          <w:szCs w:val="24"/>
        </w:rPr>
        <w:t>综上所述，导致公司今年计提存货跌价准备金额明显高于以往年度。</w:t>
      </w:r>
    </w:p>
    <w:p w:rsidR="00A35D1A" w:rsidRPr="00EA612D" w:rsidRDefault="00A35D1A" w:rsidP="00F663C7">
      <w:pPr>
        <w:spacing w:beforeLines="50" w:before="156" w:afterLines="50" w:after="156" w:line="360" w:lineRule="auto"/>
        <w:ind w:leftChars="50" w:left="105" w:rightChars="50" w:right="105" w:firstLineChars="200" w:firstLine="482"/>
        <w:rPr>
          <w:rFonts w:asciiTheme="minorEastAsia" w:hAnsiTheme="minorEastAsia" w:cs="Times New Roman"/>
          <w:b/>
          <w:color w:val="000000" w:themeColor="text1"/>
          <w:sz w:val="24"/>
          <w:szCs w:val="24"/>
        </w:rPr>
      </w:pPr>
      <w:r w:rsidRPr="00EA612D">
        <w:rPr>
          <w:rFonts w:asciiTheme="minorEastAsia" w:hAnsiTheme="minorEastAsia" w:cs="Times New Roman"/>
          <w:b/>
          <w:color w:val="000000" w:themeColor="text1"/>
          <w:sz w:val="24"/>
          <w:szCs w:val="24"/>
        </w:rPr>
        <w:t>会计师意见：</w:t>
      </w:r>
    </w:p>
    <w:p w:rsidR="00A35D1A" w:rsidRPr="00EA612D" w:rsidRDefault="00D10947" w:rsidP="002765B3">
      <w:pPr>
        <w:spacing w:beforeLines="50" w:before="156" w:afterLines="50" w:after="156" w:line="360" w:lineRule="auto"/>
        <w:ind w:leftChars="50" w:left="105" w:rightChars="50" w:right="105" w:firstLineChars="200" w:firstLine="480"/>
        <w:rPr>
          <w:rFonts w:asciiTheme="minorEastAsia" w:hAnsiTheme="minorEastAsia" w:cs="Times New Roman"/>
          <w:color w:val="000000" w:themeColor="text1"/>
          <w:sz w:val="24"/>
          <w:szCs w:val="24"/>
        </w:rPr>
      </w:pPr>
      <w:r w:rsidRPr="00EA612D">
        <w:rPr>
          <w:rFonts w:asciiTheme="minorEastAsia" w:hAnsiTheme="minorEastAsia" w:cs="Times New Roman" w:hint="eastAsia"/>
          <w:color w:val="000000" w:themeColor="text1"/>
          <w:sz w:val="24"/>
          <w:szCs w:val="24"/>
        </w:rPr>
        <w:t>我们复核了公司存货跌价准备本期计提和转销情况，以及计提存货跌价准备原因和依据，获取专业评估机构对存在减值迹象存货的评估报告或企业对存</w:t>
      </w:r>
      <w:r w:rsidRPr="00EA612D">
        <w:rPr>
          <w:rFonts w:asciiTheme="minorEastAsia" w:hAnsiTheme="minorEastAsia" w:cs="Times New Roman" w:hint="eastAsia"/>
          <w:color w:val="000000" w:themeColor="text1"/>
          <w:sz w:val="24"/>
          <w:szCs w:val="24"/>
        </w:rPr>
        <w:lastRenderedPageBreak/>
        <w:t>在减值迹象的存货的测算数据，并进行复核，未发现重大差异。我们认为：公司本期计提存货跌价准备</w:t>
      </w:r>
      <w:r w:rsidRPr="00EA612D">
        <w:rPr>
          <w:rFonts w:asciiTheme="minorEastAsia" w:hAnsiTheme="minorEastAsia" w:cs="Times New Roman"/>
          <w:color w:val="000000" w:themeColor="text1"/>
          <w:sz w:val="24"/>
          <w:szCs w:val="24"/>
        </w:rPr>
        <w:t>28,859.</w:t>
      </w:r>
      <w:r w:rsidR="009D522D" w:rsidRPr="00EA612D">
        <w:rPr>
          <w:rFonts w:asciiTheme="minorEastAsia" w:hAnsiTheme="minorEastAsia" w:cs="Times New Roman"/>
          <w:color w:val="000000" w:themeColor="text1"/>
          <w:sz w:val="24"/>
          <w:szCs w:val="24"/>
        </w:rPr>
        <w:t>6</w:t>
      </w:r>
      <w:r w:rsidR="009D522D" w:rsidRPr="00EA612D">
        <w:rPr>
          <w:rFonts w:asciiTheme="minorEastAsia" w:hAnsiTheme="minorEastAsia" w:cs="Times New Roman" w:hint="eastAsia"/>
          <w:color w:val="000000" w:themeColor="text1"/>
          <w:sz w:val="24"/>
          <w:szCs w:val="24"/>
        </w:rPr>
        <w:t>1</w:t>
      </w:r>
      <w:r w:rsidRPr="00EA612D">
        <w:rPr>
          <w:rFonts w:asciiTheme="minorEastAsia" w:hAnsiTheme="minorEastAsia" w:cs="Times New Roman"/>
          <w:color w:val="000000" w:themeColor="text1"/>
          <w:sz w:val="24"/>
          <w:szCs w:val="24"/>
        </w:rPr>
        <w:t>万元、转回或转销存货跌价准备5,643.98万元，符合公司的实际情况及企业会计准则的规定。</w:t>
      </w:r>
    </w:p>
    <w:p w:rsidR="00A35D1A" w:rsidRPr="00EA612D" w:rsidRDefault="00A35D1A" w:rsidP="00F663C7">
      <w:pPr>
        <w:spacing w:beforeLines="50" w:before="156" w:afterLines="50" w:after="156" w:line="360" w:lineRule="auto"/>
        <w:ind w:leftChars="50" w:left="105" w:rightChars="50" w:right="105" w:firstLineChars="200" w:firstLine="482"/>
        <w:jc w:val="left"/>
        <w:rPr>
          <w:rFonts w:asciiTheme="minorEastAsia" w:hAnsiTheme="minorEastAsia" w:cs="Times New Roman"/>
          <w:b/>
          <w:color w:val="000000" w:themeColor="text1"/>
          <w:sz w:val="24"/>
          <w:szCs w:val="24"/>
        </w:rPr>
      </w:pPr>
      <w:r w:rsidRPr="00EA612D">
        <w:rPr>
          <w:rFonts w:asciiTheme="minorEastAsia" w:hAnsiTheme="minorEastAsia" w:cs="Times New Roman"/>
          <w:b/>
          <w:color w:val="000000" w:themeColor="text1"/>
          <w:sz w:val="24"/>
          <w:szCs w:val="24"/>
        </w:rPr>
        <w:t>5.商誉减值准备。年报披露，公司商誉账面余额为14.6亿元，占公司净资产的63%。本期期初累计计提商誉减值准备为4642万元，本期计提商誉减值准备1.31亿元。本期计提金额大幅高于2015年度计提金额1637万元。请公司结合已确认商誉公司近三年的经营情况，逐家披露公司计提或不计提商誉减值准备的原因、依据及合理性，今年计提金额明显高于以往年度的原因及合理性，公司未来是否存在大额商誉减值的风险，若是，请充分提示风险。请会计师核查并发表意见。</w:t>
      </w:r>
    </w:p>
    <w:p w:rsidR="00A35D1A" w:rsidRPr="00EA612D" w:rsidRDefault="00A35D1A" w:rsidP="00F663C7">
      <w:pPr>
        <w:spacing w:beforeLines="50" w:before="156" w:afterLines="50" w:after="156" w:line="360" w:lineRule="auto"/>
        <w:ind w:leftChars="50" w:left="105" w:rightChars="50" w:right="105" w:firstLineChars="200" w:firstLine="482"/>
        <w:jc w:val="left"/>
        <w:rPr>
          <w:rFonts w:asciiTheme="minorEastAsia" w:hAnsiTheme="minorEastAsia" w:cs="Times New Roman"/>
          <w:b/>
          <w:color w:val="000000" w:themeColor="text1"/>
          <w:sz w:val="24"/>
          <w:szCs w:val="24"/>
        </w:rPr>
      </w:pPr>
      <w:r w:rsidRPr="00EA612D">
        <w:rPr>
          <w:rFonts w:asciiTheme="minorEastAsia" w:hAnsiTheme="minorEastAsia" w:cs="Times New Roman"/>
          <w:b/>
          <w:color w:val="000000" w:themeColor="text1"/>
          <w:sz w:val="24"/>
          <w:szCs w:val="24"/>
        </w:rPr>
        <w:t>公司回复：</w:t>
      </w:r>
    </w:p>
    <w:p w:rsidR="00A35D1A" w:rsidRPr="00EA612D" w:rsidRDefault="00F530DF" w:rsidP="00F663C7">
      <w:pPr>
        <w:spacing w:beforeLines="50" w:before="156" w:afterLines="50" w:after="156" w:line="360" w:lineRule="auto"/>
        <w:ind w:leftChars="50" w:left="105" w:rightChars="50" w:right="105" w:firstLineChars="200" w:firstLine="480"/>
        <w:jc w:val="left"/>
        <w:rPr>
          <w:rFonts w:asciiTheme="minorEastAsia" w:hAnsiTheme="minorEastAsia" w:cs="Times New Roman"/>
          <w:color w:val="000000" w:themeColor="text1"/>
          <w:sz w:val="24"/>
          <w:szCs w:val="24"/>
        </w:rPr>
      </w:pPr>
      <w:r w:rsidRPr="00EA612D">
        <w:rPr>
          <w:rFonts w:asciiTheme="minorEastAsia" w:hAnsiTheme="minorEastAsia" w:cs="Times New Roman" w:hint="eastAsia"/>
          <w:color w:val="000000" w:themeColor="text1"/>
          <w:sz w:val="24"/>
          <w:szCs w:val="24"/>
        </w:rPr>
        <w:t>（1）</w:t>
      </w:r>
      <w:r w:rsidR="00A35D1A" w:rsidRPr="00EA612D">
        <w:rPr>
          <w:rFonts w:asciiTheme="minorEastAsia" w:hAnsiTheme="minorEastAsia" w:cs="Times New Roman"/>
          <w:color w:val="000000" w:themeColor="text1"/>
          <w:sz w:val="24"/>
          <w:szCs w:val="24"/>
        </w:rPr>
        <w:t>结合已确认商誉</w:t>
      </w:r>
      <w:r w:rsidR="000230C4" w:rsidRPr="00EA612D">
        <w:rPr>
          <w:rFonts w:asciiTheme="minorEastAsia" w:hAnsiTheme="minorEastAsia" w:cs="Times New Roman" w:hint="eastAsia"/>
          <w:color w:val="000000" w:themeColor="text1"/>
          <w:sz w:val="24"/>
          <w:szCs w:val="24"/>
        </w:rPr>
        <w:t>的</w:t>
      </w:r>
      <w:r w:rsidR="00A35D1A" w:rsidRPr="00EA612D">
        <w:rPr>
          <w:rFonts w:asciiTheme="minorEastAsia" w:hAnsiTheme="minorEastAsia" w:cs="Times New Roman"/>
          <w:color w:val="000000" w:themeColor="text1"/>
          <w:sz w:val="24"/>
          <w:szCs w:val="24"/>
        </w:rPr>
        <w:t>公司近三年的经营情况，逐家披露公司计提或不计提商誉减值准备的原因、依据及</w:t>
      </w:r>
      <w:r w:rsidR="00D0483C" w:rsidRPr="00EA612D">
        <w:rPr>
          <w:rFonts w:asciiTheme="minorEastAsia" w:hAnsiTheme="minorEastAsia" w:cs="Times New Roman"/>
          <w:color w:val="000000" w:themeColor="text1"/>
          <w:sz w:val="24"/>
          <w:szCs w:val="24"/>
        </w:rPr>
        <w:t>合理性</w:t>
      </w:r>
    </w:p>
    <w:p w:rsidR="00A35D1A" w:rsidRPr="00EA612D" w:rsidRDefault="00A35D1A" w:rsidP="00F663C7">
      <w:pPr>
        <w:spacing w:beforeLines="50" w:before="156" w:afterLines="50" w:after="156" w:line="360" w:lineRule="auto"/>
        <w:ind w:leftChars="50" w:left="105" w:rightChars="50" w:right="105" w:firstLineChars="200" w:firstLine="480"/>
        <w:jc w:val="left"/>
        <w:rPr>
          <w:rFonts w:asciiTheme="minorEastAsia" w:hAnsiTheme="minorEastAsia" w:cs="Times New Roman"/>
          <w:color w:val="000000" w:themeColor="text1"/>
          <w:sz w:val="24"/>
          <w:szCs w:val="24"/>
        </w:rPr>
      </w:pPr>
      <w:r w:rsidRPr="00EA612D">
        <w:rPr>
          <w:rFonts w:asciiTheme="minorEastAsia" w:hAnsiTheme="minorEastAsia" w:cs="Times New Roman"/>
          <w:color w:val="000000" w:themeColor="text1"/>
          <w:sz w:val="24"/>
          <w:szCs w:val="24"/>
        </w:rPr>
        <w:t>截止2016年12月31日，公司合并报表反映商誉金额</w:t>
      </w:r>
      <w:r w:rsidR="000230C4" w:rsidRPr="00EA612D">
        <w:rPr>
          <w:rFonts w:asciiTheme="minorEastAsia" w:hAnsiTheme="minorEastAsia" w:cs="Times New Roman"/>
          <w:color w:val="000000" w:themeColor="text1"/>
          <w:sz w:val="24"/>
          <w:szCs w:val="24"/>
        </w:rPr>
        <w:t>146,031.24</w:t>
      </w:r>
      <w:r w:rsidR="000230C4" w:rsidRPr="00EA612D">
        <w:rPr>
          <w:rFonts w:asciiTheme="minorEastAsia" w:hAnsiTheme="minorEastAsia" w:cs="Times New Roman" w:hint="eastAsia"/>
          <w:color w:val="000000" w:themeColor="text1"/>
          <w:sz w:val="24"/>
          <w:szCs w:val="24"/>
        </w:rPr>
        <w:t>万</w:t>
      </w:r>
      <w:r w:rsidRPr="00EA612D">
        <w:rPr>
          <w:rFonts w:asciiTheme="minorEastAsia" w:hAnsiTheme="minorEastAsia" w:cs="Times New Roman"/>
          <w:color w:val="000000" w:themeColor="text1"/>
          <w:sz w:val="24"/>
          <w:szCs w:val="24"/>
        </w:rPr>
        <w:t>元，确认商誉公司的明细情况如下表：</w:t>
      </w:r>
    </w:p>
    <w:p w:rsidR="00A35D1A" w:rsidRPr="00EA612D" w:rsidRDefault="00A35D1A" w:rsidP="00304BB9">
      <w:pPr>
        <w:adjustRightInd w:val="0"/>
        <w:snapToGrid w:val="0"/>
        <w:spacing w:line="400" w:lineRule="atLeast"/>
        <w:ind w:firstLineChars="200" w:firstLine="420"/>
        <w:jc w:val="right"/>
        <w:rPr>
          <w:rFonts w:ascii="Times New Roman" w:hAnsi="Times New Roman" w:cs="Times New Roman"/>
          <w:color w:val="000000" w:themeColor="text1"/>
          <w:szCs w:val="21"/>
        </w:rPr>
      </w:pPr>
      <w:r w:rsidRPr="00EA612D">
        <w:rPr>
          <w:rFonts w:ascii="Times New Roman" w:hAnsi="Times New Roman" w:cs="Times New Roman"/>
          <w:color w:val="000000" w:themeColor="text1"/>
          <w:szCs w:val="21"/>
        </w:rPr>
        <w:t>单位：人民币万元</w:t>
      </w:r>
    </w:p>
    <w:tbl>
      <w:tblPr>
        <w:tblW w:w="8364" w:type="dxa"/>
        <w:tblInd w:w="108"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4079"/>
        <w:gridCol w:w="1308"/>
        <w:gridCol w:w="1701"/>
        <w:gridCol w:w="1276"/>
      </w:tblGrid>
      <w:tr w:rsidR="00835FFC" w:rsidRPr="00EA612D" w:rsidTr="00A35D1A">
        <w:trPr>
          <w:trHeight w:val="283"/>
        </w:trPr>
        <w:tc>
          <w:tcPr>
            <w:tcW w:w="4079" w:type="dxa"/>
            <w:shd w:val="clear" w:color="auto" w:fill="auto"/>
            <w:vAlign w:val="center"/>
            <w:hideMark/>
          </w:tcPr>
          <w:p w:rsidR="00A35D1A" w:rsidRPr="00EA612D" w:rsidRDefault="00A35D1A" w:rsidP="00A35D1A">
            <w:pPr>
              <w:snapToGrid w:val="0"/>
              <w:spacing w:line="200" w:lineRule="atLeast"/>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被投资单位名称或形成商誉的事项</w:t>
            </w:r>
          </w:p>
        </w:tc>
        <w:tc>
          <w:tcPr>
            <w:tcW w:w="1308" w:type="dxa"/>
            <w:shd w:val="clear" w:color="auto" w:fill="auto"/>
            <w:vAlign w:val="center"/>
            <w:hideMark/>
          </w:tcPr>
          <w:p w:rsidR="00304BB9" w:rsidRPr="00EA612D" w:rsidRDefault="00A35D1A" w:rsidP="00A35D1A">
            <w:pPr>
              <w:snapToGrid w:val="0"/>
              <w:spacing w:line="200" w:lineRule="atLeast"/>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2016</w:t>
            </w:r>
            <w:r w:rsidRPr="00EA612D">
              <w:rPr>
                <w:rFonts w:ascii="Times New Roman" w:hAnsi="Times New Roman" w:cs="Times New Roman"/>
                <w:color w:val="000000" w:themeColor="text1"/>
                <w:sz w:val="16"/>
                <w:szCs w:val="16"/>
              </w:rPr>
              <w:t>年末</w:t>
            </w:r>
          </w:p>
          <w:p w:rsidR="00A35D1A" w:rsidRPr="00EA612D" w:rsidRDefault="00A35D1A" w:rsidP="00A35D1A">
            <w:pPr>
              <w:snapToGrid w:val="0"/>
              <w:spacing w:line="200" w:lineRule="atLeast"/>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商誉余额</w:t>
            </w:r>
          </w:p>
        </w:tc>
        <w:tc>
          <w:tcPr>
            <w:tcW w:w="1701" w:type="dxa"/>
            <w:shd w:val="clear" w:color="auto" w:fill="auto"/>
            <w:vAlign w:val="center"/>
            <w:hideMark/>
          </w:tcPr>
          <w:p w:rsidR="00304BB9" w:rsidRPr="00EA612D" w:rsidRDefault="00A35D1A" w:rsidP="00A35D1A">
            <w:pPr>
              <w:snapToGrid w:val="0"/>
              <w:spacing w:line="200" w:lineRule="atLeast"/>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2016</w:t>
            </w:r>
            <w:r w:rsidRPr="00EA612D">
              <w:rPr>
                <w:rFonts w:ascii="Times New Roman" w:hAnsi="Times New Roman" w:cs="Times New Roman"/>
                <w:color w:val="000000" w:themeColor="text1"/>
                <w:sz w:val="16"/>
                <w:szCs w:val="16"/>
              </w:rPr>
              <w:t>年末</w:t>
            </w:r>
          </w:p>
          <w:p w:rsidR="00A35D1A" w:rsidRPr="00EA612D" w:rsidRDefault="00A35D1A" w:rsidP="00A35D1A">
            <w:pPr>
              <w:snapToGrid w:val="0"/>
              <w:spacing w:line="200" w:lineRule="atLeast"/>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商誉减值准备金额</w:t>
            </w:r>
          </w:p>
        </w:tc>
        <w:tc>
          <w:tcPr>
            <w:tcW w:w="1276" w:type="dxa"/>
            <w:shd w:val="clear" w:color="auto" w:fill="auto"/>
            <w:vAlign w:val="center"/>
            <w:hideMark/>
          </w:tcPr>
          <w:p w:rsidR="00A35D1A" w:rsidRPr="00EA612D" w:rsidRDefault="00A35D1A" w:rsidP="00A35D1A">
            <w:pPr>
              <w:snapToGrid w:val="0"/>
              <w:spacing w:line="200" w:lineRule="atLeast"/>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商誉净值金额</w:t>
            </w:r>
          </w:p>
        </w:tc>
      </w:tr>
      <w:tr w:rsidR="00835FFC" w:rsidRPr="00EA612D" w:rsidTr="00A35D1A">
        <w:trPr>
          <w:trHeight w:val="283"/>
        </w:trPr>
        <w:tc>
          <w:tcPr>
            <w:tcW w:w="4079" w:type="dxa"/>
            <w:shd w:val="clear" w:color="auto" w:fill="auto"/>
            <w:vAlign w:val="center"/>
          </w:tcPr>
          <w:p w:rsidR="00A35D1A" w:rsidRPr="00EA612D" w:rsidRDefault="00A35D1A" w:rsidP="00A35D1A">
            <w:pPr>
              <w:snapToGrid w:val="0"/>
              <w:spacing w:line="200" w:lineRule="atLeast"/>
              <w:jc w:val="lef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广州要玩娱乐网络技术有限公司</w:t>
            </w:r>
          </w:p>
        </w:tc>
        <w:tc>
          <w:tcPr>
            <w:tcW w:w="1308" w:type="dxa"/>
            <w:shd w:val="clear" w:color="auto" w:fill="auto"/>
            <w:vAlign w:val="center"/>
          </w:tcPr>
          <w:p w:rsidR="00A35D1A" w:rsidRPr="00EA612D" w:rsidRDefault="00A35D1A" w:rsidP="00A35D1A">
            <w:pPr>
              <w:snapToGrid w:val="0"/>
              <w:spacing w:line="200" w:lineRule="atLeast"/>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133,735.26</w:t>
            </w:r>
          </w:p>
        </w:tc>
        <w:tc>
          <w:tcPr>
            <w:tcW w:w="1701" w:type="dxa"/>
            <w:shd w:val="clear" w:color="auto" w:fill="auto"/>
            <w:vAlign w:val="center"/>
          </w:tcPr>
          <w:p w:rsidR="00A35D1A" w:rsidRPr="00EA612D" w:rsidRDefault="00A35D1A" w:rsidP="00A35D1A">
            <w:pPr>
              <w:snapToGrid w:val="0"/>
              <w:spacing w:line="200" w:lineRule="atLeast"/>
              <w:jc w:val="right"/>
              <w:rPr>
                <w:rFonts w:ascii="Times New Roman" w:hAnsi="Times New Roman" w:cs="Times New Roman"/>
                <w:color w:val="000000" w:themeColor="text1"/>
                <w:sz w:val="16"/>
                <w:szCs w:val="16"/>
              </w:rPr>
            </w:pPr>
          </w:p>
        </w:tc>
        <w:tc>
          <w:tcPr>
            <w:tcW w:w="1276" w:type="dxa"/>
            <w:shd w:val="clear" w:color="auto" w:fill="auto"/>
            <w:vAlign w:val="center"/>
          </w:tcPr>
          <w:p w:rsidR="00A35D1A" w:rsidRPr="00EA612D" w:rsidRDefault="00A35D1A" w:rsidP="00A35D1A">
            <w:pPr>
              <w:snapToGrid w:val="0"/>
              <w:spacing w:line="200" w:lineRule="atLeast"/>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133,735.26</w:t>
            </w:r>
          </w:p>
        </w:tc>
      </w:tr>
      <w:tr w:rsidR="00835FFC" w:rsidRPr="00EA612D" w:rsidTr="00A35D1A">
        <w:trPr>
          <w:trHeight w:val="283"/>
        </w:trPr>
        <w:tc>
          <w:tcPr>
            <w:tcW w:w="4079" w:type="dxa"/>
            <w:shd w:val="clear" w:color="auto" w:fill="auto"/>
            <w:vAlign w:val="center"/>
          </w:tcPr>
          <w:p w:rsidR="00A35D1A" w:rsidRPr="00EA612D" w:rsidRDefault="00A35D1A" w:rsidP="00A35D1A">
            <w:pPr>
              <w:snapToGrid w:val="0"/>
              <w:spacing w:line="200" w:lineRule="atLeast"/>
              <w:jc w:val="lef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上海优思通信科技有限公司</w:t>
            </w:r>
          </w:p>
        </w:tc>
        <w:tc>
          <w:tcPr>
            <w:tcW w:w="1308" w:type="dxa"/>
            <w:shd w:val="clear" w:color="auto" w:fill="auto"/>
            <w:vAlign w:val="center"/>
          </w:tcPr>
          <w:p w:rsidR="00A35D1A" w:rsidRPr="00EA612D" w:rsidRDefault="00A35D1A" w:rsidP="00A35D1A">
            <w:pPr>
              <w:snapToGrid w:val="0"/>
              <w:spacing w:line="200" w:lineRule="atLeast"/>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13,055.80</w:t>
            </w:r>
          </w:p>
        </w:tc>
        <w:tc>
          <w:tcPr>
            <w:tcW w:w="1701" w:type="dxa"/>
            <w:shd w:val="clear" w:color="auto" w:fill="auto"/>
            <w:vAlign w:val="center"/>
          </w:tcPr>
          <w:p w:rsidR="00A35D1A" w:rsidRPr="00EA612D" w:rsidRDefault="00A35D1A" w:rsidP="00A35D1A">
            <w:pPr>
              <w:snapToGrid w:val="0"/>
              <w:spacing w:line="200" w:lineRule="atLeast"/>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10,809.56</w:t>
            </w:r>
          </w:p>
        </w:tc>
        <w:tc>
          <w:tcPr>
            <w:tcW w:w="1276" w:type="dxa"/>
            <w:shd w:val="clear" w:color="auto" w:fill="auto"/>
            <w:vAlign w:val="center"/>
          </w:tcPr>
          <w:p w:rsidR="00A35D1A" w:rsidRPr="00EA612D" w:rsidRDefault="00A35D1A" w:rsidP="00A35D1A">
            <w:pPr>
              <w:snapToGrid w:val="0"/>
              <w:spacing w:line="200" w:lineRule="atLeast"/>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2,246.24</w:t>
            </w:r>
          </w:p>
        </w:tc>
      </w:tr>
      <w:tr w:rsidR="00835FFC" w:rsidRPr="00EA612D" w:rsidTr="00A35D1A">
        <w:trPr>
          <w:trHeight w:val="283"/>
        </w:trPr>
        <w:tc>
          <w:tcPr>
            <w:tcW w:w="4079" w:type="dxa"/>
            <w:shd w:val="clear" w:color="auto" w:fill="auto"/>
            <w:vAlign w:val="center"/>
          </w:tcPr>
          <w:p w:rsidR="00A35D1A" w:rsidRPr="00EA612D" w:rsidRDefault="00A35D1A" w:rsidP="00A35D1A">
            <w:pPr>
              <w:snapToGrid w:val="0"/>
              <w:spacing w:line="200" w:lineRule="atLeast"/>
              <w:jc w:val="lef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江苏安防科技有限公司</w:t>
            </w:r>
          </w:p>
        </w:tc>
        <w:tc>
          <w:tcPr>
            <w:tcW w:w="1308" w:type="dxa"/>
            <w:shd w:val="clear" w:color="auto" w:fill="auto"/>
            <w:vAlign w:val="center"/>
          </w:tcPr>
          <w:p w:rsidR="00A35D1A" w:rsidRPr="00EA612D" w:rsidRDefault="00A35D1A" w:rsidP="00A35D1A">
            <w:pPr>
              <w:snapToGrid w:val="0"/>
              <w:spacing w:line="200" w:lineRule="atLeast"/>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11,016.90</w:t>
            </w:r>
          </w:p>
        </w:tc>
        <w:tc>
          <w:tcPr>
            <w:tcW w:w="1701" w:type="dxa"/>
            <w:shd w:val="clear" w:color="auto" w:fill="auto"/>
            <w:vAlign w:val="center"/>
          </w:tcPr>
          <w:p w:rsidR="00A35D1A" w:rsidRPr="00EA612D" w:rsidRDefault="00A35D1A" w:rsidP="00A35D1A">
            <w:pPr>
              <w:snapToGrid w:val="0"/>
              <w:spacing w:line="200" w:lineRule="atLeast"/>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3,872.45</w:t>
            </w:r>
          </w:p>
        </w:tc>
        <w:tc>
          <w:tcPr>
            <w:tcW w:w="1276" w:type="dxa"/>
            <w:shd w:val="clear" w:color="auto" w:fill="auto"/>
            <w:vAlign w:val="center"/>
          </w:tcPr>
          <w:p w:rsidR="00A35D1A" w:rsidRPr="00EA612D" w:rsidRDefault="00A35D1A" w:rsidP="00A35D1A">
            <w:pPr>
              <w:snapToGrid w:val="0"/>
              <w:spacing w:line="200" w:lineRule="atLeast"/>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7,144.45</w:t>
            </w:r>
          </w:p>
        </w:tc>
      </w:tr>
      <w:tr w:rsidR="00835FFC" w:rsidRPr="00EA612D" w:rsidTr="00A35D1A">
        <w:trPr>
          <w:trHeight w:val="283"/>
        </w:trPr>
        <w:tc>
          <w:tcPr>
            <w:tcW w:w="4079" w:type="dxa"/>
            <w:shd w:val="clear" w:color="auto" w:fill="auto"/>
            <w:vAlign w:val="center"/>
          </w:tcPr>
          <w:p w:rsidR="00A35D1A" w:rsidRPr="00EA612D" w:rsidRDefault="00A35D1A" w:rsidP="00A35D1A">
            <w:pPr>
              <w:snapToGrid w:val="0"/>
              <w:spacing w:line="200" w:lineRule="atLeast"/>
              <w:jc w:val="lef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启东优思有限公司</w:t>
            </w:r>
          </w:p>
        </w:tc>
        <w:tc>
          <w:tcPr>
            <w:tcW w:w="1308" w:type="dxa"/>
            <w:shd w:val="clear" w:color="auto" w:fill="auto"/>
            <w:vAlign w:val="center"/>
          </w:tcPr>
          <w:p w:rsidR="00A35D1A" w:rsidRPr="00EA612D" w:rsidRDefault="00A35D1A" w:rsidP="00A35D1A">
            <w:pPr>
              <w:snapToGrid w:val="0"/>
              <w:spacing w:line="200" w:lineRule="atLeast"/>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4,561.95</w:t>
            </w:r>
          </w:p>
        </w:tc>
        <w:tc>
          <w:tcPr>
            <w:tcW w:w="1701" w:type="dxa"/>
            <w:shd w:val="clear" w:color="auto" w:fill="auto"/>
            <w:vAlign w:val="center"/>
          </w:tcPr>
          <w:p w:rsidR="00A35D1A" w:rsidRPr="00EA612D" w:rsidRDefault="00A35D1A" w:rsidP="00A35D1A">
            <w:pPr>
              <w:snapToGrid w:val="0"/>
              <w:spacing w:line="200" w:lineRule="atLeast"/>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1,810.92</w:t>
            </w:r>
          </w:p>
        </w:tc>
        <w:tc>
          <w:tcPr>
            <w:tcW w:w="1276" w:type="dxa"/>
            <w:shd w:val="clear" w:color="auto" w:fill="auto"/>
            <w:vAlign w:val="center"/>
          </w:tcPr>
          <w:p w:rsidR="00A35D1A" w:rsidRPr="00EA612D" w:rsidRDefault="00A35D1A" w:rsidP="00A35D1A">
            <w:pPr>
              <w:snapToGrid w:val="0"/>
              <w:spacing w:line="200" w:lineRule="atLeast"/>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2,751.03</w:t>
            </w:r>
          </w:p>
        </w:tc>
      </w:tr>
      <w:tr w:rsidR="00835FFC" w:rsidRPr="00EA612D" w:rsidTr="00A35D1A">
        <w:trPr>
          <w:trHeight w:val="283"/>
        </w:trPr>
        <w:tc>
          <w:tcPr>
            <w:tcW w:w="4079" w:type="dxa"/>
            <w:shd w:val="clear" w:color="auto" w:fill="auto"/>
            <w:vAlign w:val="center"/>
          </w:tcPr>
          <w:p w:rsidR="00A35D1A" w:rsidRPr="00EA612D" w:rsidRDefault="00A35D1A" w:rsidP="00A35D1A">
            <w:pPr>
              <w:snapToGrid w:val="0"/>
              <w:spacing w:line="200" w:lineRule="atLeast"/>
              <w:jc w:val="lef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盛耀无线通讯科技（北京）有限公司</w:t>
            </w:r>
          </w:p>
        </w:tc>
        <w:tc>
          <w:tcPr>
            <w:tcW w:w="1308" w:type="dxa"/>
            <w:shd w:val="clear" w:color="auto" w:fill="auto"/>
            <w:vAlign w:val="center"/>
          </w:tcPr>
          <w:p w:rsidR="00A35D1A" w:rsidRPr="00EA612D" w:rsidRDefault="00A35D1A" w:rsidP="00A35D1A">
            <w:pPr>
              <w:snapToGrid w:val="0"/>
              <w:spacing w:line="200" w:lineRule="atLeast"/>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1,294.40</w:t>
            </w:r>
          </w:p>
        </w:tc>
        <w:tc>
          <w:tcPr>
            <w:tcW w:w="1701" w:type="dxa"/>
            <w:shd w:val="clear" w:color="auto" w:fill="auto"/>
            <w:vAlign w:val="center"/>
          </w:tcPr>
          <w:p w:rsidR="00A35D1A" w:rsidRPr="00EA612D" w:rsidRDefault="00A35D1A" w:rsidP="00A35D1A">
            <w:pPr>
              <w:snapToGrid w:val="0"/>
              <w:spacing w:line="200" w:lineRule="atLeast"/>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1,294.40</w:t>
            </w:r>
          </w:p>
        </w:tc>
        <w:tc>
          <w:tcPr>
            <w:tcW w:w="1276" w:type="dxa"/>
            <w:shd w:val="clear" w:color="auto" w:fill="auto"/>
            <w:vAlign w:val="center"/>
          </w:tcPr>
          <w:p w:rsidR="00A35D1A" w:rsidRPr="00EA612D" w:rsidRDefault="00A35D1A" w:rsidP="00A35D1A">
            <w:pPr>
              <w:snapToGrid w:val="0"/>
              <w:spacing w:line="200" w:lineRule="atLeast"/>
              <w:jc w:val="right"/>
              <w:rPr>
                <w:rFonts w:ascii="Times New Roman" w:hAnsi="Times New Roman" w:cs="Times New Roman"/>
                <w:color w:val="000000" w:themeColor="text1"/>
                <w:sz w:val="16"/>
                <w:szCs w:val="16"/>
              </w:rPr>
            </w:pPr>
          </w:p>
        </w:tc>
      </w:tr>
      <w:tr w:rsidR="00835FFC" w:rsidRPr="00EA612D" w:rsidTr="00A35D1A">
        <w:trPr>
          <w:trHeight w:val="283"/>
        </w:trPr>
        <w:tc>
          <w:tcPr>
            <w:tcW w:w="4079" w:type="dxa"/>
            <w:shd w:val="clear" w:color="auto" w:fill="auto"/>
            <w:vAlign w:val="center"/>
          </w:tcPr>
          <w:p w:rsidR="00A35D1A" w:rsidRPr="00EA612D" w:rsidRDefault="00A35D1A" w:rsidP="00A35D1A">
            <w:pPr>
              <w:snapToGrid w:val="0"/>
              <w:spacing w:line="200" w:lineRule="atLeast"/>
              <w:jc w:val="lef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大唐微电子技术有限公司</w:t>
            </w:r>
          </w:p>
        </w:tc>
        <w:tc>
          <w:tcPr>
            <w:tcW w:w="1308" w:type="dxa"/>
            <w:shd w:val="clear" w:color="auto" w:fill="auto"/>
            <w:vAlign w:val="center"/>
          </w:tcPr>
          <w:p w:rsidR="00A35D1A" w:rsidRPr="00EA612D" w:rsidRDefault="00A35D1A" w:rsidP="00A35D1A">
            <w:pPr>
              <w:snapToGrid w:val="0"/>
              <w:spacing w:line="200" w:lineRule="atLeast"/>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154.26</w:t>
            </w:r>
          </w:p>
        </w:tc>
        <w:tc>
          <w:tcPr>
            <w:tcW w:w="1701" w:type="dxa"/>
            <w:shd w:val="clear" w:color="auto" w:fill="auto"/>
            <w:vAlign w:val="center"/>
          </w:tcPr>
          <w:p w:rsidR="00A35D1A" w:rsidRPr="00EA612D" w:rsidRDefault="00A35D1A" w:rsidP="00A35D1A">
            <w:pPr>
              <w:snapToGrid w:val="0"/>
              <w:spacing w:line="200" w:lineRule="atLeast"/>
              <w:jc w:val="right"/>
              <w:rPr>
                <w:rFonts w:ascii="Times New Roman" w:hAnsi="Times New Roman" w:cs="Times New Roman"/>
                <w:color w:val="000000" w:themeColor="text1"/>
                <w:sz w:val="16"/>
                <w:szCs w:val="16"/>
              </w:rPr>
            </w:pPr>
          </w:p>
        </w:tc>
        <w:tc>
          <w:tcPr>
            <w:tcW w:w="1276" w:type="dxa"/>
            <w:shd w:val="clear" w:color="auto" w:fill="auto"/>
            <w:vAlign w:val="center"/>
          </w:tcPr>
          <w:p w:rsidR="00A35D1A" w:rsidRPr="00EA612D" w:rsidRDefault="00A35D1A" w:rsidP="00A35D1A">
            <w:pPr>
              <w:snapToGrid w:val="0"/>
              <w:spacing w:line="200" w:lineRule="atLeast"/>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154.26</w:t>
            </w:r>
          </w:p>
        </w:tc>
      </w:tr>
      <w:tr w:rsidR="00835FFC" w:rsidRPr="00EA612D" w:rsidTr="00A35D1A">
        <w:trPr>
          <w:trHeight w:val="283"/>
        </w:trPr>
        <w:tc>
          <w:tcPr>
            <w:tcW w:w="4079" w:type="dxa"/>
            <w:shd w:val="clear" w:color="auto" w:fill="auto"/>
            <w:vAlign w:val="center"/>
            <w:hideMark/>
          </w:tcPr>
          <w:p w:rsidR="00A35D1A" w:rsidRPr="00EA612D" w:rsidRDefault="00A35D1A" w:rsidP="00A35D1A">
            <w:pPr>
              <w:snapToGrid w:val="0"/>
              <w:spacing w:line="200" w:lineRule="atLeast"/>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合计</w:t>
            </w:r>
          </w:p>
        </w:tc>
        <w:tc>
          <w:tcPr>
            <w:tcW w:w="1308" w:type="dxa"/>
            <w:shd w:val="clear" w:color="auto" w:fill="auto"/>
            <w:vAlign w:val="center"/>
            <w:hideMark/>
          </w:tcPr>
          <w:p w:rsidR="00A35D1A" w:rsidRPr="00EA612D" w:rsidRDefault="00A35D1A" w:rsidP="00A35D1A">
            <w:pPr>
              <w:snapToGrid w:val="0"/>
              <w:spacing w:line="200" w:lineRule="atLeast"/>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163,818.57</w:t>
            </w:r>
          </w:p>
        </w:tc>
        <w:tc>
          <w:tcPr>
            <w:tcW w:w="1701" w:type="dxa"/>
            <w:shd w:val="clear" w:color="auto" w:fill="auto"/>
            <w:vAlign w:val="center"/>
            <w:hideMark/>
          </w:tcPr>
          <w:p w:rsidR="00A35D1A" w:rsidRPr="00EA612D" w:rsidRDefault="00A35D1A" w:rsidP="00A35D1A">
            <w:pPr>
              <w:snapToGrid w:val="0"/>
              <w:spacing w:line="200" w:lineRule="atLeast"/>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17,787.33</w:t>
            </w:r>
          </w:p>
        </w:tc>
        <w:tc>
          <w:tcPr>
            <w:tcW w:w="1276" w:type="dxa"/>
            <w:shd w:val="clear" w:color="auto" w:fill="auto"/>
            <w:vAlign w:val="center"/>
            <w:hideMark/>
          </w:tcPr>
          <w:p w:rsidR="00A35D1A" w:rsidRPr="00EA612D" w:rsidRDefault="00A35D1A" w:rsidP="00A35D1A">
            <w:pPr>
              <w:snapToGrid w:val="0"/>
              <w:spacing w:line="200" w:lineRule="atLeast"/>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146,031.24</w:t>
            </w:r>
          </w:p>
        </w:tc>
      </w:tr>
    </w:tbl>
    <w:p w:rsidR="00A35D1A" w:rsidRPr="00EA612D" w:rsidRDefault="00A35D1A" w:rsidP="00F663C7">
      <w:pPr>
        <w:ind w:firstLineChars="200" w:firstLine="480"/>
        <w:jc w:val="left"/>
        <w:rPr>
          <w:rFonts w:ascii="Times New Roman" w:hAnsi="Times New Roman" w:cs="Times New Roman"/>
          <w:color w:val="000000" w:themeColor="text1"/>
          <w:sz w:val="24"/>
          <w:szCs w:val="24"/>
        </w:rPr>
      </w:pPr>
      <w:r w:rsidRPr="00EA612D">
        <w:rPr>
          <w:rFonts w:ascii="Times New Roman" w:hAnsi="Times New Roman" w:cs="Times New Roman"/>
          <w:color w:val="000000" w:themeColor="text1"/>
          <w:sz w:val="24"/>
          <w:szCs w:val="24"/>
        </w:rPr>
        <w:t>本期计提的商誉减值明细如下表：</w:t>
      </w:r>
    </w:p>
    <w:p w:rsidR="00A35D1A" w:rsidRPr="00EA612D" w:rsidRDefault="00A35D1A" w:rsidP="00304BB9">
      <w:pPr>
        <w:adjustRightInd w:val="0"/>
        <w:snapToGrid w:val="0"/>
        <w:spacing w:line="400" w:lineRule="atLeast"/>
        <w:ind w:firstLineChars="200" w:firstLine="420"/>
        <w:jc w:val="right"/>
        <w:rPr>
          <w:rFonts w:ascii="Times New Roman" w:hAnsi="Times New Roman" w:cs="Times New Roman"/>
          <w:color w:val="000000" w:themeColor="text1"/>
          <w:szCs w:val="21"/>
        </w:rPr>
      </w:pPr>
      <w:r w:rsidRPr="00EA612D">
        <w:rPr>
          <w:rFonts w:ascii="Times New Roman" w:hAnsi="Times New Roman" w:cs="Times New Roman"/>
          <w:color w:val="000000" w:themeColor="text1"/>
          <w:szCs w:val="21"/>
        </w:rPr>
        <w:t>单位：人民币万元</w:t>
      </w:r>
    </w:p>
    <w:tbl>
      <w:tblPr>
        <w:tblW w:w="8364" w:type="dxa"/>
        <w:tblInd w:w="108"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4079"/>
        <w:gridCol w:w="1308"/>
        <w:gridCol w:w="1559"/>
        <w:gridCol w:w="1418"/>
      </w:tblGrid>
      <w:tr w:rsidR="00835FFC" w:rsidRPr="00EA612D" w:rsidTr="00A35D1A">
        <w:trPr>
          <w:trHeight w:val="255"/>
        </w:trPr>
        <w:tc>
          <w:tcPr>
            <w:tcW w:w="4079" w:type="dxa"/>
            <w:shd w:val="clear" w:color="auto" w:fill="auto"/>
            <w:vAlign w:val="center"/>
            <w:hideMark/>
          </w:tcPr>
          <w:p w:rsidR="00A35D1A" w:rsidRPr="00EA612D" w:rsidRDefault="00A35D1A" w:rsidP="00A35D1A">
            <w:pPr>
              <w:snapToGrid w:val="0"/>
              <w:spacing w:line="200" w:lineRule="atLeast"/>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被投资单位名称或形成商誉的事项</w:t>
            </w:r>
          </w:p>
        </w:tc>
        <w:tc>
          <w:tcPr>
            <w:tcW w:w="1308" w:type="dxa"/>
            <w:shd w:val="clear" w:color="auto" w:fill="auto"/>
            <w:vAlign w:val="center"/>
            <w:hideMark/>
          </w:tcPr>
          <w:p w:rsidR="00304BB9" w:rsidRPr="00EA612D" w:rsidRDefault="00A35D1A" w:rsidP="00A35D1A">
            <w:pPr>
              <w:snapToGrid w:val="0"/>
              <w:spacing w:line="200" w:lineRule="atLeast"/>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2016</w:t>
            </w:r>
            <w:r w:rsidRPr="00EA612D">
              <w:rPr>
                <w:rFonts w:ascii="Times New Roman" w:hAnsi="Times New Roman" w:cs="Times New Roman"/>
                <w:color w:val="000000" w:themeColor="text1"/>
                <w:sz w:val="16"/>
                <w:szCs w:val="16"/>
              </w:rPr>
              <w:t>年初</w:t>
            </w:r>
          </w:p>
          <w:p w:rsidR="00A35D1A" w:rsidRPr="00EA612D" w:rsidRDefault="00A35D1A" w:rsidP="00A35D1A">
            <w:pPr>
              <w:snapToGrid w:val="0"/>
              <w:spacing w:line="200" w:lineRule="atLeast"/>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商誉减值准备金额</w:t>
            </w:r>
          </w:p>
        </w:tc>
        <w:tc>
          <w:tcPr>
            <w:tcW w:w="1559" w:type="dxa"/>
            <w:shd w:val="clear" w:color="auto" w:fill="auto"/>
            <w:vAlign w:val="center"/>
            <w:hideMark/>
          </w:tcPr>
          <w:p w:rsidR="00304BB9" w:rsidRPr="00EA612D" w:rsidRDefault="00A35D1A" w:rsidP="00A35D1A">
            <w:pPr>
              <w:snapToGrid w:val="0"/>
              <w:spacing w:line="200" w:lineRule="atLeast"/>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本期计提</w:t>
            </w:r>
          </w:p>
          <w:p w:rsidR="00A35D1A" w:rsidRPr="00EA612D" w:rsidRDefault="00A35D1A" w:rsidP="00A35D1A">
            <w:pPr>
              <w:snapToGrid w:val="0"/>
              <w:spacing w:line="200" w:lineRule="atLeast"/>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商誉减值准备金额</w:t>
            </w:r>
          </w:p>
        </w:tc>
        <w:tc>
          <w:tcPr>
            <w:tcW w:w="1418" w:type="dxa"/>
            <w:shd w:val="clear" w:color="auto" w:fill="auto"/>
            <w:vAlign w:val="center"/>
            <w:hideMark/>
          </w:tcPr>
          <w:p w:rsidR="00304BB9" w:rsidRPr="00EA612D" w:rsidRDefault="00A35D1A" w:rsidP="00A35D1A">
            <w:pPr>
              <w:snapToGrid w:val="0"/>
              <w:spacing w:line="200" w:lineRule="atLeast"/>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2016</w:t>
            </w:r>
            <w:r w:rsidRPr="00EA612D">
              <w:rPr>
                <w:rFonts w:ascii="Times New Roman" w:hAnsi="Times New Roman" w:cs="Times New Roman"/>
                <w:color w:val="000000" w:themeColor="text1"/>
                <w:sz w:val="16"/>
                <w:szCs w:val="16"/>
              </w:rPr>
              <w:t>年末</w:t>
            </w:r>
          </w:p>
          <w:p w:rsidR="00A35D1A" w:rsidRPr="00EA612D" w:rsidRDefault="00A35D1A" w:rsidP="00304BB9">
            <w:pPr>
              <w:snapToGrid w:val="0"/>
              <w:spacing w:line="200" w:lineRule="atLeast"/>
              <w:ind w:rightChars="-51" w:right="-107"/>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商誉减值准备金</w:t>
            </w:r>
            <w:r w:rsidR="00304BB9" w:rsidRPr="00EA612D">
              <w:rPr>
                <w:rFonts w:ascii="Times New Roman" w:hAnsi="Times New Roman" w:cs="Times New Roman"/>
                <w:color w:val="000000" w:themeColor="text1"/>
                <w:sz w:val="16"/>
                <w:szCs w:val="16"/>
              </w:rPr>
              <w:t>额</w:t>
            </w:r>
          </w:p>
        </w:tc>
      </w:tr>
      <w:tr w:rsidR="00835FFC" w:rsidRPr="00EA612D" w:rsidTr="00A35D1A">
        <w:trPr>
          <w:trHeight w:val="283"/>
        </w:trPr>
        <w:tc>
          <w:tcPr>
            <w:tcW w:w="4079" w:type="dxa"/>
            <w:shd w:val="clear" w:color="auto" w:fill="auto"/>
            <w:vAlign w:val="center"/>
            <w:hideMark/>
          </w:tcPr>
          <w:p w:rsidR="00A35D1A" w:rsidRPr="00EA612D" w:rsidRDefault="00A35D1A" w:rsidP="00A35D1A">
            <w:pPr>
              <w:snapToGrid w:val="0"/>
              <w:spacing w:line="200" w:lineRule="atLeast"/>
              <w:jc w:val="lef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上海优思通信科技有限公司</w:t>
            </w:r>
          </w:p>
        </w:tc>
        <w:tc>
          <w:tcPr>
            <w:tcW w:w="1308" w:type="dxa"/>
            <w:shd w:val="clear" w:color="auto" w:fill="auto"/>
            <w:vAlign w:val="center"/>
            <w:hideMark/>
          </w:tcPr>
          <w:p w:rsidR="00A35D1A" w:rsidRPr="00EA612D" w:rsidRDefault="00A35D1A" w:rsidP="00A35D1A">
            <w:pPr>
              <w:snapToGrid w:val="0"/>
              <w:spacing w:line="200" w:lineRule="atLeast"/>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3,539.42</w:t>
            </w:r>
          </w:p>
        </w:tc>
        <w:tc>
          <w:tcPr>
            <w:tcW w:w="1559" w:type="dxa"/>
            <w:shd w:val="clear" w:color="auto" w:fill="auto"/>
            <w:vAlign w:val="center"/>
            <w:hideMark/>
          </w:tcPr>
          <w:p w:rsidR="00A35D1A" w:rsidRPr="00EA612D" w:rsidRDefault="00A35D1A" w:rsidP="00A35D1A">
            <w:pPr>
              <w:snapToGrid w:val="0"/>
              <w:spacing w:line="200" w:lineRule="atLeast"/>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7,270.14</w:t>
            </w:r>
          </w:p>
        </w:tc>
        <w:tc>
          <w:tcPr>
            <w:tcW w:w="1418" w:type="dxa"/>
            <w:shd w:val="clear" w:color="auto" w:fill="auto"/>
            <w:vAlign w:val="center"/>
            <w:hideMark/>
          </w:tcPr>
          <w:p w:rsidR="00A35D1A" w:rsidRPr="00EA612D" w:rsidRDefault="00A35D1A" w:rsidP="00A35D1A">
            <w:pPr>
              <w:snapToGrid w:val="0"/>
              <w:spacing w:line="200" w:lineRule="atLeast"/>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10,809.56</w:t>
            </w:r>
          </w:p>
        </w:tc>
      </w:tr>
      <w:tr w:rsidR="00835FFC" w:rsidRPr="00EA612D" w:rsidTr="00A35D1A">
        <w:trPr>
          <w:trHeight w:val="283"/>
        </w:trPr>
        <w:tc>
          <w:tcPr>
            <w:tcW w:w="4079" w:type="dxa"/>
            <w:shd w:val="clear" w:color="auto" w:fill="auto"/>
            <w:vAlign w:val="center"/>
            <w:hideMark/>
          </w:tcPr>
          <w:p w:rsidR="00A35D1A" w:rsidRPr="00EA612D" w:rsidRDefault="00A35D1A" w:rsidP="00A35D1A">
            <w:pPr>
              <w:snapToGrid w:val="0"/>
              <w:spacing w:line="200" w:lineRule="atLeast"/>
              <w:jc w:val="lef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江苏安防科技有限公司</w:t>
            </w:r>
          </w:p>
        </w:tc>
        <w:tc>
          <w:tcPr>
            <w:tcW w:w="1308" w:type="dxa"/>
            <w:shd w:val="clear" w:color="auto" w:fill="auto"/>
            <w:vAlign w:val="center"/>
            <w:hideMark/>
          </w:tcPr>
          <w:p w:rsidR="00A35D1A" w:rsidRPr="00EA612D" w:rsidRDefault="00A35D1A" w:rsidP="00A35D1A">
            <w:pPr>
              <w:snapToGrid w:val="0"/>
              <w:spacing w:line="200" w:lineRule="atLeast"/>
              <w:jc w:val="right"/>
              <w:rPr>
                <w:rFonts w:ascii="Times New Roman" w:hAnsi="Times New Roman" w:cs="Times New Roman"/>
                <w:color w:val="000000" w:themeColor="text1"/>
                <w:sz w:val="16"/>
                <w:szCs w:val="16"/>
              </w:rPr>
            </w:pPr>
          </w:p>
        </w:tc>
        <w:tc>
          <w:tcPr>
            <w:tcW w:w="1559" w:type="dxa"/>
            <w:shd w:val="clear" w:color="auto" w:fill="auto"/>
            <w:vAlign w:val="center"/>
            <w:hideMark/>
          </w:tcPr>
          <w:p w:rsidR="00A35D1A" w:rsidRPr="00EA612D" w:rsidRDefault="00A35D1A" w:rsidP="00A35D1A">
            <w:pPr>
              <w:snapToGrid w:val="0"/>
              <w:spacing w:line="200" w:lineRule="atLeast"/>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3,872.45</w:t>
            </w:r>
          </w:p>
        </w:tc>
        <w:tc>
          <w:tcPr>
            <w:tcW w:w="1418" w:type="dxa"/>
            <w:shd w:val="clear" w:color="auto" w:fill="auto"/>
            <w:vAlign w:val="center"/>
            <w:hideMark/>
          </w:tcPr>
          <w:p w:rsidR="00A35D1A" w:rsidRPr="00EA612D" w:rsidRDefault="00A35D1A" w:rsidP="00A35D1A">
            <w:pPr>
              <w:snapToGrid w:val="0"/>
              <w:spacing w:line="200" w:lineRule="atLeast"/>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3,872.45</w:t>
            </w:r>
          </w:p>
        </w:tc>
      </w:tr>
      <w:tr w:rsidR="00835FFC" w:rsidRPr="00EA612D" w:rsidTr="00A35D1A">
        <w:trPr>
          <w:trHeight w:val="283"/>
        </w:trPr>
        <w:tc>
          <w:tcPr>
            <w:tcW w:w="4079" w:type="dxa"/>
            <w:shd w:val="clear" w:color="auto" w:fill="auto"/>
            <w:vAlign w:val="center"/>
            <w:hideMark/>
          </w:tcPr>
          <w:p w:rsidR="00A35D1A" w:rsidRPr="00EA612D" w:rsidRDefault="00A35D1A" w:rsidP="00A35D1A">
            <w:pPr>
              <w:snapToGrid w:val="0"/>
              <w:spacing w:line="200" w:lineRule="atLeast"/>
              <w:jc w:val="lef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启东优思有限公司</w:t>
            </w:r>
          </w:p>
        </w:tc>
        <w:tc>
          <w:tcPr>
            <w:tcW w:w="1308" w:type="dxa"/>
            <w:shd w:val="clear" w:color="auto" w:fill="auto"/>
            <w:vAlign w:val="center"/>
            <w:hideMark/>
          </w:tcPr>
          <w:p w:rsidR="00A35D1A" w:rsidRPr="00EA612D" w:rsidRDefault="00A35D1A" w:rsidP="00A35D1A">
            <w:pPr>
              <w:snapToGrid w:val="0"/>
              <w:spacing w:line="200" w:lineRule="atLeast"/>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573.34</w:t>
            </w:r>
          </w:p>
        </w:tc>
        <w:tc>
          <w:tcPr>
            <w:tcW w:w="1559" w:type="dxa"/>
            <w:shd w:val="clear" w:color="auto" w:fill="auto"/>
            <w:vAlign w:val="center"/>
            <w:hideMark/>
          </w:tcPr>
          <w:p w:rsidR="00A35D1A" w:rsidRPr="00EA612D" w:rsidRDefault="00A35D1A" w:rsidP="00A35D1A">
            <w:pPr>
              <w:snapToGrid w:val="0"/>
              <w:spacing w:line="200" w:lineRule="atLeast"/>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1,237.58</w:t>
            </w:r>
          </w:p>
        </w:tc>
        <w:tc>
          <w:tcPr>
            <w:tcW w:w="1418" w:type="dxa"/>
            <w:shd w:val="clear" w:color="auto" w:fill="auto"/>
            <w:vAlign w:val="center"/>
            <w:hideMark/>
          </w:tcPr>
          <w:p w:rsidR="00A35D1A" w:rsidRPr="00EA612D" w:rsidRDefault="00A35D1A" w:rsidP="00A35D1A">
            <w:pPr>
              <w:snapToGrid w:val="0"/>
              <w:spacing w:line="200" w:lineRule="atLeast"/>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1,810.92</w:t>
            </w:r>
          </w:p>
        </w:tc>
      </w:tr>
      <w:tr w:rsidR="00835FFC" w:rsidRPr="00EA612D" w:rsidTr="00A35D1A">
        <w:trPr>
          <w:trHeight w:val="283"/>
        </w:trPr>
        <w:tc>
          <w:tcPr>
            <w:tcW w:w="4079" w:type="dxa"/>
            <w:shd w:val="clear" w:color="auto" w:fill="auto"/>
            <w:vAlign w:val="center"/>
          </w:tcPr>
          <w:p w:rsidR="00A35D1A" w:rsidRPr="00EA612D" w:rsidRDefault="00A35D1A" w:rsidP="00A35D1A">
            <w:pPr>
              <w:snapToGrid w:val="0"/>
              <w:spacing w:line="200" w:lineRule="atLeast"/>
              <w:jc w:val="lef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盛耀无线通讯科技（北京）有限公司</w:t>
            </w:r>
          </w:p>
        </w:tc>
        <w:tc>
          <w:tcPr>
            <w:tcW w:w="1308" w:type="dxa"/>
            <w:shd w:val="clear" w:color="auto" w:fill="auto"/>
            <w:vAlign w:val="center"/>
          </w:tcPr>
          <w:p w:rsidR="00A35D1A" w:rsidRPr="00EA612D" w:rsidRDefault="00A35D1A" w:rsidP="00A35D1A">
            <w:pPr>
              <w:snapToGrid w:val="0"/>
              <w:spacing w:line="200" w:lineRule="atLeast"/>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530.00</w:t>
            </w:r>
          </w:p>
        </w:tc>
        <w:tc>
          <w:tcPr>
            <w:tcW w:w="1559" w:type="dxa"/>
            <w:shd w:val="clear" w:color="auto" w:fill="auto"/>
            <w:vAlign w:val="center"/>
          </w:tcPr>
          <w:p w:rsidR="00A35D1A" w:rsidRPr="00EA612D" w:rsidRDefault="00A35D1A" w:rsidP="00A35D1A">
            <w:pPr>
              <w:snapToGrid w:val="0"/>
              <w:spacing w:line="200" w:lineRule="atLeast"/>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764.40</w:t>
            </w:r>
          </w:p>
        </w:tc>
        <w:tc>
          <w:tcPr>
            <w:tcW w:w="1418" w:type="dxa"/>
            <w:shd w:val="clear" w:color="auto" w:fill="auto"/>
            <w:vAlign w:val="center"/>
          </w:tcPr>
          <w:p w:rsidR="00A35D1A" w:rsidRPr="00EA612D" w:rsidRDefault="00A35D1A" w:rsidP="00A35D1A">
            <w:pPr>
              <w:snapToGrid w:val="0"/>
              <w:spacing w:line="200" w:lineRule="atLeast"/>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1,294.40</w:t>
            </w:r>
          </w:p>
        </w:tc>
      </w:tr>
      <w:tr w:rsidR="00835FFC" w:rsidRPr="00EA612D" w:rsidTr="00A35D1A">
        <w:trPr>
          <w:trHeight w:val="283"/>
        </w:trPr>
        <w:tc>
          <w:tcPr>
            <w:tcW w:w="4079" w:type="dxa"/>
            <w:shd w:val="clear" w:color="auto" w:fill="auto"/>
            <w:vAlign w:val="center"/>
            <w:hideMark/>
          </w:tcPr>
          <w:p w:rsidR="00A35D1A" w:rsidRPr="00EA612D" w:rsidRDefault="00A35D1A" w:rsidP="00A35D1A">
            <w:pPr>
              <w:snapToGrid w:val="0"/>
              <w:spacing w:line="200" w:lineRule="atLeast"/>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合计</w:t>
            </w:r>
          </w:p>
        </w:tc>
        <w:tc>
          <w:tcPr>
            <w:tcW w:w="1308" w:type="dxa"/>
            <w:shd w:val="clear" w:color="auto" w:fill="auto"/>
            <w:vAlign w:val="center"/>
            <w:hideMark/>
          </w:tcPr>
          <w:p w:rsidR="00A35D1A" w:rsidRPr="00EA612D" w:rsidRDefault="00A35D1A" w:rsidP="00A35D1A">
            <w:pPr>
              <w:snapToGrid w:val="0"/>
              <w:spacing w:line="200" w:lineRule="atLeast"/>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 xml:space="preserve">4,642.76 </w:t>
            </w:r>
          </w:p>
        </w:tc>
        <w:tc>
          <w:tcPr>
            <w:tcW w:w="1559" w:type="dxa"/>
            <w:shd w:val="clear" w:color="auto" w:fill="auto"/>
            <w:vAlign w:val="center"/>
            <w:hideMark/>
          </w:tcPr>
          <w:p w:rsidR="00A35D1A" w:rsidRPr="00EA612D" w:rsidRDefault="00A35D1A" w:rsidP="00A35D1A">
            <w:pPr>
              <w:snapToGrid w:val="0"/>
              <w:spacing w:line="200" w:lineRule="atLeast"/>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13,144.57</w:t>
            </w:r>
          </w:p>
        </w:tc>
        <w:tc>
          <w:tcPr>
            <w:tcW w:w="1418" w:type="dxa"/>
            <w:shd w:val="clear" w:color="auto" w:fill="auto"/>
            <w:vAlign w:val="center"/>
            <w:hideMark/>
          </w:tcPr>
          <w:p w:rsidR="00A35D1A" w:rsidRPr="00EA612D" w:rsidRDefault="00A35D1A" w:rsidP="00A35D1A">
            <w:pPr>
              <w:snapToGrid w:val="0"/>
              <w:spacing w:line="200" w:lineRule="atLeast"/>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17,787.33</w:t>
            </w:r>
          </w:p>
        </w:tc>
      </w:tr>
    </w:tbl>
    <w:p w:rsidR="002765B3" w:rsidRPr="00EA612D" w:rsidRDefault="002765B3" w:rsidP="002765B3">
      <w:pPr>
        <w:adjustRightInd w:val="0"/>
        <w:snapToGrid w:val="0"/>
        <w:ind w:firstLine="482"/>
        <w:outlineLvl w:val="0"/>
        <w:rPr>
          <w:rFonts w:asciiTheme="minorEastAsia" w:hAnsiTheme="minorEastAsia" w:cs="Times New Roman"/>
          <w:color w:val="000000" w:themeColor="text1"/>
          <w:sz w:val="24"/>
          <w:szCs w:val="24"/>
        </w:rPr>
      </w:pPr>
    </w:p>
    <w:p w:rsidR="00A35D1A" w:rsidRPr="00EA612D" w:rsidRDefault="00304BB9" w:rsidP="002765B3">
      <w:pPr>
        <w:adjustRightInd w:val="0"/>
        <w:snapToGrid w:val="0"/>
        <w:spacing w:line="360" w:lineRule="auto"/>
        <w:ind w:firstLine="482"/>
        <w:outlineLvl w:val="0"/>
        <w:rPr>
          <w:rFonts w:asciiTheme="minorEastAsia" w:hAnsiTheme="minorEastAsia" w:cs="Times New Roman"/>
          <w:color w:val="000000" w:themeColor="text1"/>
          <w:sz w:val="24"/>
          <w:szCs w:val="24"/>
        </w:rPr>
      </w:pPr>
      <w:r w:rsidRPr="00EA612D">
        <w:rPr>
          <w:rFonts w:asciiTheme="minorEastAsia" w:hAnsiTheme="minorEastAsia" w:cs="Times New Roman" w:hint="eastAsia"/>
          <w:color w:val="000000" w:themeColor="text1"/>
          <w:sz w:val="24"/>
          <w:szCs w:val="24"/>
        </w:rPr>
        <w:lastRenderedPageBreak/>
        <w:t>①</w:t>
      </w:r>
      <w:r w:rsidR="00A35D1A" w:rsidRPr="00EA612D">
        <w:rPr>
          <w:rFonts w:asciiTheme="minorEastAsia" w:hAnsiTheme="minorEastAsia" w:cs="Times New Roman"/>
          <w:color w:val="000000" w:themeColor="text1"/>
          <w:sz w:val="24"/>
          <w:szCs w:val="24"/>
        </w:rPr>
        <w:t>广州要玩娱乐网络技术有限公司</w:t>
      </w:r>
    </w:p>
    <w:p w:rsidR="00A35D1A" w:rsidRPr="00EA612D" w:rsidRDefault="00A35D1A" w:rsidP="002765B3">
      <w:pPr>
        <w:spacing w:line="360" w:lineRule="auto"/>
        <w:ind w:firstLine="482"/>
        <w:rPr>
          <w:rFonts w:asciiTheme="minorEastAsia" w:hAnsiTheme="minorEastAsia" w:cs="Times New Roman"/>
          <w:color w:val="000000" w:themeColor="text1"/>
          <w:sz w:val="24"/>
          <w:szCs w:val="24"/>
        </w:rPr>
      </w:pPr>
      <w:r w:rsidRPr="00EA612D">
        <w:rPr>
          <w:rFonts w:asciiTheme="minorEastAsia" w:hAnsiTheme="minorEastAsia" w:cs="Times New Roman"/>
          <w:color w:val="000000" w:themeColor="text1"/>
          <w:sz w:val="24"/>
          <w:szCs w:val="24"/>
        </w:rPr>
        <w:t>商誉的形成及经营情况：根据中国证券监督管理委员会印发的证监许可〔2014〕332号《关于核准大唐电信科技股份有限公司向周浩等发行股份购买资产并募集配套资金的批复》文件，公司通过发行股份和支付现金相结合的方式，购买周浩、陈勇、叶宇斌、陈灵、康彦尊、黄勇、浙江弘帆创业投资有限公司、广州</w:t>
      </w:r>
      <w:proofErr w:type="gramStart"/>
      <w:r w:rsidRPr="00EA612D">
        <w:rPr>
          <w:rFonts w:asciiTheme="minorEastAsia" w:hAnsiTheme="minorEastAsia" w:cs="Times New Roman"/>
          <w:color w:val="000000" w:themeColor="text1"/>
          <w:sz w:val="24"/>
          <w:szCs w:val="24"/>
        </w:rPr>
        <w:t>世</w:t>
      </w:r>
      <w:proofErr w:type="gramEnd"/>
      <w:r w:rsidRPr="00EA612D">
        <w:rPr>
          <w:rFonts w:asciiTheme="minorEastAsia" w:hAnsiTheme="minorEastAsia" w:cs="Times New Roman"/>
          <w:color w:val="000000" w:themeColor="text1"/>
          <w:sz w:val="24"/>
          <w:szCs w:val="24"/>
        </w:rPr>
        <w:t>宝投资合伙企业（有限合伙）、海通开元投资有限公司合法持有的广州要玩娱乐网络技术有限公司100%股权，并发行股份募集配套资金和使用自有资金用于支付购买上述股权的部分现金对价。</w:t>
      </w:r>
    </w:p>
    <w:p w:rsidR="00A35D1A" w:rsidRPr="00EA612D" w:rsidRDefault="00A35D1A" w:rsidP="002765B3">
      <w:pPr>
        <w:spacing w:line="360" w:lineRule="auto"/>
        <w:ind w:firstLineChars="200" w:firstLine="480"/>
        <w:rPr>
          <w:rFonts w:asciiTheme="minorEastAsia" w:hAnsiTheme="minorEastAsia" w:cs="Times New Roman"/>
          <w:color w:val="000000" w:themeColor="text1"/>
          <w:sz w:val="24"/>
          <w:szCs w:val="24"/>
        </w:rPr>
      </w:pPr>
      <w:r w:rsidRPr="00EA612D">
        <w:rPr>
          <w:rFonts w:asciiTheme="minorEastAsia" w:hAnsiTheme="minorEastAsia" w:cs="Times New Roman"/>
          <w:color w:val="000000" w:themeColor="text1"/>
          <w:sz w:val="24"/>
          <w:szCs w:val="24"/>
        </w:rPr>
        <w:t>根据中资资产评估有限公司于2013年7月25日出具的中资评报字[2013]202号评估报告，在持续经营的前提下，以2013年3月31日为评估基准日，广州要玩娱乐网络技术有限公司全部权益价值按照收益法的评估结果为人民币168,074.43万元。合并日（2014年3月31日）可辨认净资产公允价值确认为34,339.17万元，与收购</w:t>
      </w:r>
      <w:r w:rsidR="001129B2" w:rsidRPr="00EA612D">
        <w:rPr>
          <w:rFonts w:asciiTheme="minorEastAsia" w:hAnsiTheme="minorEastAsia" w:cs="Times New Roman"/>
          <w:color w:val="000000" w:themeColor="text1"/>
          <w:sz w:val="24"/>
          <w:szCs w:val="24"/>
        </w:rPr>
        <w:t>资金</w:t>
      </w:r>
      <w:r w:rsidRPr="00EA612D">
        <w:rPr>
          <w:rFonts w:asciiTheme="minorEastAsia" w:hAnsiTheme="minorEastAsia" w:cs="Times New Roman"/>
          <w:color w:val="000000" w:themeColor="text1"/>
          <w:sz w:val="24"/>
          <w:szCs w:val="24"/>
        </w:rPr>
        <w:t>差额133,735.26万元确认为商誉。</w:t>
      </w:r>
    </w:p>
    <w:p w:rsidR="00A35D1A" w:rsidRPr="00EA612D" w:rsidRDefault="00A35D1A" w:rsidP="002765B3">
      <w:pPr>
        <w:spacing w:line="360" w:lineRule="auto"/>
        <w:ind w:firstLineChars="200" w:firstLine="480"/>
        <w:rPr>
          <w:rFonts w:asciiTheme="minorEastAsia" w:hAnsiTheme="minorEastAsia" w:cs="Times New Roman"/>
          <w:color w:val="000000" w:themeColor="text1"/>
          <w:sz w:val="24"/>
          <w:szCs w:val="24"/>
        </w:rPr>
      </w:pPr>
      <w:r w:rsidRPr="00EA612D">
        <w:rPr>
          <w:rFonts w:asciiTheme="minorEastAsia" w:hAnsiTheme="minorEastAsia" w:cs="Times New Roman"/>
          <w:color w:val="000000" w:themeColor="text1"/>
          <w:sz w:val="24"/>
          <w:szCs w:val="24"/>
        </w:rPr>
        <w:t>广州要玩娱乐网络技术有限公司在2014至2016年净利润分别为</w:t>
      </w:r>
      <w:r w:rsidR="00D10947" w:rsidRPr="00EA612D">
        <w:rPr>
          <w:rFonts w:asciiTheme="minorEastAsia" w:hAnsiTheme="minorEastAsia" w:cs="Times New Roman"/>
          <w:color w:val="000000" w:themeColor="text1"/>
          <w:sz w:val="24"/>
          <w:szCs w:val="24"/>
        </w:rPr>
        <w:t>16,984.74</w:t>
      </w:r>
      <w:r w:rsidR="00851D2F" w:rsidRPr="00EA612D">
        <w:rPr>
          <w:rFonts w:asciiTheme="minorEastAsia" w:hAnsiTheme="minorEastAsia" w:cs="Times New Roman" w:hint="eastAsia"/>
          <w:color w:val="000000" w:themeColor="text1"/>
          <w:sz w:val="24"/>
          <w:szCs w:val="24"/>
        </w:rPr>
        <w:t>万</w:t>
      </w:r>
      <w:r w:rsidRPr="00EA612D">
        <w:rPr>
          <w:rFonts w:asciiTheme="minorEastAsia" w:hAnsiTheme="minorEastAsia" w:cs="Times New Roman"/>
          <w:color w:val="000000" w:themeColor="text1"/>
          <w:sz w:val="24"/>
          <w:szCs w:val="24"/>
        </w:rPr>
        <w:t>元、</w:t>
      </w:r>
      <w:r w:rsidR="00851D2F" w:rsidRPr="00EA612D">
        <w:rPr>
          <w:rFonts w:asciiTheme="minorEastAsia" w:hAnsiTheme="minorEastAsia" w:cs="Times New Roman" w:hint="eastAsia"/>
          <w:color w:val="000000" w:themeColor="text1"/>
          <w:sz w:val="24"/>
          <w:szCs w:val="24"/>
        </w:rPr>
        <w:t>20,343.99万</w:t>
      </w:r>
      <w:r w:rsidRPr="00EA612D">
        <w:rPr>
          <w:rFonts w:asciiTheme="minorEastAsia" w:hAnsiTheme="minorEastAsia" w:cs="Times New Roman"/>
          <w:color w:val="000000" w:themeColor="text1"/>
          <w:sz w:val="24"/>
          <w:szCs w:val="24"/>
        </w:rPr>
        <w:t>元及</w:t>
      </w:r>
      <w:r w:rsidR="00851D2F" w:rsidRPr="00EA612D">
        <w:rPr>
          <w:rFonts w:asciiTheme="minorEastAsia" w:hAnsiTheme="minorEastAsia" w:cs="Times New Roman" w:hint="eastAsia"/>
          <w:color w:val="000000" w:themeColor="text1"/>
          <w:sz w:val="24"/>
          <w:szCs w:val="24"/>
        </w:rPr>
        <w:t>23,794.54万</w:t>
      </w:r>
      <w:r w:rsidRPr="00EA612D">
        <w:rPr>
          <w:rFonts w:asciiTheme="minorEastAsia" w:hAnsiTheme="minorEastAsia" w:cs="Times New Roman"/>
          <w:color w:val="000000" w:themeColor="text1"/>
          <w:sz w:val="24"/>
          <w:szCs w:val="24"/>
        </w:rPr>
        <w:t>元。</w:t>
      </w:r>
    </w:p>
    <w:p w:rsidR="00A35D1A" w:rsidRPr="00EA612D" w:rsidRDefault="00A35D1A" w:rsidP="00F663C7">
      <w:pPr>
        <w:spacing w:line="360" w:lineRule="auto"/>
        <w:ind w:firstLineChars="200" w:firstLine="480"/>
        <w:rPr>
          <w:rFonts w:asciiTheme="minorEastAsia" w:hAnsiTheme="minorEastAsia" w:cs="Times New Roman"/>
          <w:color w:val="000000" w:themeColor="text1"/>
          <w:sz w:val="24"/>
          <w:szCs w:val="24"/>
        </w:rPr>
      </w:pPr>
      <w:r w:rsidRPr="00EA612D">
        <w:rPr>
          <w:rFonts w:asciiTheme="minorEastAsia" w:hAnsiTheme="minorEastAsia" w:cs="Times New Roman"/>
          <w:color w:val="000000" w:themeColor="text1"/>
          <w:sz w:val="24"/>
          <w:szCs w:val="24"/>
        </w:rPr>
        <w:t>不计提商誉减值准备的原因和依据：截止2016年12月31日，公司对广州要玩娱乐网络技术有限公司的长期股权投资为168,074.43万元，持有100.00%的股权。2016年</w:t>
      </w:r>
      <w:r w:rsidR="009B6034" w:rsidRPr="00EA612D">
        <w:rPr>
          <w:rFonts w:asciiTheme="minorEastAsia" w:hAnsiTheme="minorEastAsia" w:cs="Times New Roman" w:hint="eastAsia"/>
          <w:color w:val="000000" w:themeColor="text1"/>
          <w:sz w:val="24"/>
          <w:szCs w:val="24"/>
        </w:rPr>
        <w:t>度</w:t>
      </w:r>
      <w:r w:rsidRPr="00EA612D">
        <w:rPr>
          <w:rFonts w:asciiTheme="minorEastAsia" w:hAnsiTheme="minorEastAsia" w:cs="Times New Roman"/>
          <w:color w:val="000000" w:themeColor="text1"/>
          <w:sz w:val="24"/>
          <w:szCs w:val="24"/>
        </w:rPr>
        <w:t>，</w:t>
      </w:r>
      <w:r w:rsidR="004033F8" w:rsidRPr="00EA612D">
        <w:rPr>
          <w:rFonts w:asciiTheme="minorEastAsia" w:hAnsiTheme="minorEastAsia" w:cs="Times New Roman"/>
          <w:color w:val="000000" w:themeColor="text1"/>
          <w:sz w:val="24"/>
          <w:szCs w:val="24"/>
        </w:rPr>
        <w:t>广州要玩娱乐网络技术有限公司</w:t>
      </w:r>
      <w:r w:rsidRPr="00EA612D">
        <w:rPr>
          <w:rFonts w:asciiTheme="minorEastAsia" w:hAnsiTheme="minorEastAsia" w:cs="Times New Roman"/>
          <w:color w:val="000000" w:themeColor="text1"/>
          <w:sz w:val="24"/>
          <w:szCs w:val="24"/>
        </w:rPr>
        <w:t>实现</w:t>
      </w:r>
      <w:r w:rsidR="004311F3" w:rsidRPr="00EA612D">
        <w:rPr>
          <w:rFonts w:asciiTheme="minorEastAsia" w:hAnsiTheme="minorEastAsia" w:cs="Times New Roman" w:hint="eastAsia"/>
          <w:color w:val="000000" w:themeColor="text1"/>
          <w:sz w:val="24"/>
          <w:szCs w:val="24"/>
        </w:rPr>
        <w:t>扣除非经常性损益（依法取得的财政补贴及税收减免除外）后的</w:t>
      </w:r>
      <w:r w:rsidRPr="00EA612D">
        <w:rPr>
          <w:rFonts w:asciiTheme="minorEastAsia" w:hAnsiTheme="minorEastAsia" w:cs="Times New Roman"/>
          <w:color w:val="000000" w:themeColor="text1"/>
          <w:sz w:val="24"/>
          <w:szCs w:val="24"/>
        </w:rPr>
        <w:t>净利润23,721.47万元，超出承诺业绩（23,707.37万元）14.10万元。2014年至2016年累计实现</w:t>
      </w:r>
      <w:r w:rsidR="00500E5D" w:rsidRPr="00EA612D">
        <w:rPr>
          <w:rFonts w:asciiTheme="minorEastAsia" w:hAnsiTheme="minorEastAsia" w:cs="Times New Roman" w:hint="eastAsia"/>
          <w:color w:val="000000" w:themeColor="text1"/>
          <w:sz w:val="24"/>
          <w:szCs w:val="24"/>
        </w:rPr>
        <w:t>扣除非经常性损益（依法取得的财政补贴及税收减免除外）后的净</w:t>
      </w:r>
      <w:r w:rsidRPr="00EA612D">
        <w:rPr>
          <w:rFonts w:asciiTheme="minorEastAsia" w:hAnsiTheme="minorEastAsia" w:cs="Times New Roman"/>
          <w:color w:val="000000" w:themeColor="text1"/>
          <w:sz w:val="24"/>
          <w:szCs w:val="24"/>
        </w:rPr>
        <w:t>利润61,018.87万元</w:t>
      </w:r>
      <w:r w:rsidR="00500E5D" w:rsidRPr="00EA612D">
        <w:rPr>
          <w:rFonts w:asciiTheme="minorEastAsia" w:hAnsiTheme="minorEastAsia" w:cs="Times New Roman" w:hint="eastAsia"/>
          <w:color w:val="000000" w:themeColor="text1"/>
          <w:sz w:val="24"/>
          <w:szCs w:val="24"/>
        </w:rPr>
        <w:t>，</w:t>
      </w:r>
      <w:r w:rsidRPr="00EA612D">
        <w:rPr>
          <w:rFonts w:asciiTheme="minorEastAsia" w:hAnsiTheme="minorEastAsia" w:cs="Times New Roman"/>
          <w:color w:val="000000" w:themeColor="text1"/>
          <w:sz w:val="24"/>
          <w:szCs w:val="24"/>
        </w:rPr>
        <w:t>超过累计承诺利润（60,525.12 万元）493.76万元。盈利能力较好，截止2016年12月31日商誉不存在减值迹象。</w:t>
      </w:r>
    </w:p>
    <w:p w:rsidR="00A35D1A" w:rsidRPr="00EA612D" w:rsidRDefault="004C33E6" w:rsidP="00F663C7">
      <w:pPr>
        <w:adjustRightInd w:val="0"/>
        <w:snapToGrid w:val="0"/>
        <w:spacing w:line="360" w:lineRule="auto"/>
        <w:ind w:firstLine="480"/>
        <w:outlineLvl w:val="0"/>
        <w:rPr>
          <w:rFonts w:asciiTheme="minorEastAsia" w:hAnsiTheme="minorEastAsia" w:cs="Times New Roman"/>
          <w:color w:val="000000" w:themeColor="text1"/>
          <w:sz w:val="24"/>
          <w:szCs w:val="24"/>
        </w:rPr>
      </w:pPr>
      <w:r w:rsidRPr="00EA612D">
        <w:rPr>
          <w:rFonts w:asciiTheme="minorEastAsia" w:hAnsiTheme="minorEastAsia" w:cs="宋体" w:hint="eastAsia"/>
          <w:color w:val="000000" w:themeColor="text1"/>
          <w:sz w:val="24"/>
          <w:szCs w:val="24"/>
        </w:rPr>
        <w:t>②</w:t>
      </w:r>
      <w:r w:rsidR="00A35D1A" w:rsidRPr="00EA612D">
        <w:rPr>
          <w:rFonts w:asciiTheme="minorEastAsia" w:hAnsiTheme="minorEastAsia" w:cs="Times New Roman"/>
          <w:color w:val="000000" w:themeColor="text1"/>
          <w:sz w:val="24"/>
          <w:szCs w:val="24"/>
        </w:rPr>
        <w:t>上海优思通信科技有限公司</w:t>
      </w:r>
    </w:p>
    <w:p w:rsidR="00A35D1A" w:rsidRPr="00EA612D" w:rsidRDefault="00A35D1A" w:rsidP="00F663C7">
      <w:pPr>
        <w:spacing w:line="360" w:lineRule="auto"/>
        <w:ind w:firstLineChars="200" w:firstLine="480"/>
        <w:rPr>
          <w:rFonts w:asciiTheme="minorEastAsia" w:hAnsiTheme="minorEastAsia" w:cs="Times New Roman"/>
          <w:color w:val="000000" w:themeColor="text1"/>
          <w:sz w:val="24"/>
          <w:szCs w:val="24"/>
        </w:rPr>
      </w:pPr>
      <w:r w:rsidRPr="00EA612D">
        <w:rPr>
          <w:rFonts w:asciiTheme="minorEastAsia" w:hAnsiTheme="minorEastAsia" w:cs="Times New Roman"/>
          <w:color w:val="000000" w:themeColor="text1"/>
          <w:sz w:val="24"/>
          <w:szCs w:val="24"/>
        </w:rPr>
        <w:t>商誉的形成及经营情况：公司根据董事会决议和2008年第三次临时股东大会决议，参照北京德</w:t>
      </w:r>
      <w:proofErr w:type="gramStart"/>
      <w:r w:rsidRPr="00EA612D">
        <w:rPr>
          <w:rFonts w:asciiTheme="minorEastAsia" w:hAnsiTheme="minorEastAsia" w:cs="Times New Roman"/>
          <w:color w:val="000000" w:themeColor="text1"/>
          <w:sz w:val="24"/>
          <w:szCs w:val="24"/>
        </w:rPr>
        <w:t>祥</w:t>
      </w:r>
      <w:proofErr w:type="gramEnd"/>
      <w:r w:rsidRPr="00EA612D">
        <w:rPr>
          <w:rFonts w:asciiTheme="minorEastAsia" w:hAnsiTheme="minorEastAsia" w:cs="Times New Roman"/>
          <w:color w:val="000000" w:themeColor="text1"/>
          <w:sz w:val="24"/>
          <w:szCs w:val="24"/>
        </w:rPr>
        <w:t xml:space="preserve">资产评估有限责任公司出具的京德评报字（2008）第 054 </w:t>
      </w:r>
      <w:proofErr w:type="gramStart"/>
      <w:r w:rsidRPr="00EA612D">
        <w:rPr>
          <w:rFonts w:asciiTheme="minorEastAsia" w:hAnsiTheme="minorEastAsia" w:cs="Times New Roman"/>
          <w:color w:val="000000" w:themeColor="text1"/>
          <w:sz w:val="24"/>
          <w:szCs w:val="24"/>
        </w:rPr>
        <w:t>号资产</w:t>
      </w:r>
      <w:proofErr w:type="gramEnd"/>
      <w:r w:rsidRPr="00EA612D">
        <w:rPr>
          <w:rFonts w:asciiTheme="minorEastAsia" w:hAnsiTheme="minorEastAsia" w:cs="Times New Roman"/>
          <w:color w:val="000000" w:themeColor="text1"/>
          <w:sz w:val="24"/>
          <w:szCs w:val="24"/>
        </w:rPr>
        <w:t>评估报告的评估值以自有资金15,531.00万元分别收购</w:t>
      </w:r>
      <w:proofErr w:type="gramStart"/>
      <w:r w:rsidRPr="00EA612D">
        <w:rPr>
          <w:rFonts w:asciiTheme="minorEastAsia" w:hAnsiTheme="minorEastAsia" w:cs="Times New Roman"/>
          <w:color w:val="000000" w:themeColor="text1"/>
          <w:sz w:val="24"/>
          <w:szCs w:val="24"/>
        </w:rPr>
        <w:t>顾新惠</w:t>
      </w:r>
      <w:proofErr w:type="gramEnd"/>
      <w:r w:rsidRPr="00EA612D">
        <w:rPr>
          <w:rFonts w:asciiTheme="minorEastAsia" w:hAnsiTheme="minorEastAsia" w:cs="Times New Roman"/>
          <w:color w:val="000000" w:themeColor="text1"/>
          <w:sz w:val="24"/>
          <w:szCs w:val="24"/>
        </w:rPr>
        <w:t>和熊碧辉持有的上海优思通信科技有限公司17.50%和17.50%股权，持有上海优思通信科技有限公司35.00%的股权。上海优思通信科技有限公司及其全资子公司上海浦</w:t>
      </w:r>
      <w:r w:rsidRPr="00EA612D">
        <w:rPr>
          <w:rFonts w:asciiTheme="minorEastAsia" w:hAnsiTheme="minorEastAsia" w:cs="Times New Roman"/>
          <w:color w:val="000000" w:themeColor="text1"/>
          <w:sz w:val="24"/>
          <w:szCs w:val="24"/>
        </w:rPr>
        <w:lastRenderedPageBreak/>
        <w:t>歌电子有限公司和上海精佑通信科技有限公司于</w:t>
      </w:r>
      <w:smartTag w:uri="urn:schemas-microsoft-com:office:smarttags" w:element="chsdate">
        <w:smartTagPr>
          <w:attr w:name="Year" w:val="2008"/>
          <w:attr w:name="Month" w:val="9"/>
          <w:attr w:name="Day" w:val="30"/>
          <w:attr w:name="IsLunarDate" w:val="False"/>
          <w:attr w:name="IsROCDate" w:val="False"/>
        </w:smartTagPr>
        <w:r w:rsidRPr="00EA612D">
          <w:rPr>
            <w:rFonts w:asciiTheme="minorEastAsia" w:hAnsiTheme="minorEastAsia" w:cs="Times New Roman"/>
            <w:color w:val="000000" w:themeColor="text1"/>
            <w:sz w:val="24"/>
            <w:szCs w:val="24"/>
          </w:rPr>
          <w:t>2008年9月30日</w:t>
        </w:r>
      </w:smartTag>
      <w:r w:rsidRPr="00EA612D">
        <w:rPr>
          <w:rFonts w:asciiTheme="minorEastAsia" w:hAnsiTheme="minorEastAsia" w:cs="Times New Roman"/>
          <w:color w:val="000000" w:themeColor="text1"/>
          <w:sz w:val="24"/>
          <w:szCs w:val="24"/>
        </w:rPr>
        <w:t>纳入公司合并范围。</w:t>
      </w:r>
    </w:p>
    <w:p w:rsidR="00A35D1A" w:rsidRPr="00EA612D" w:rsidRDefault="00A35D1A" w:rsidP="00F663C7">
      <w:pPr>
        <w:spacing w:line="360" w:lineRule="auto"/>
        <w:ind w:firstLineChars="200" w:firstLine="480"/>
        <w:rPr>
          <w:rFonts w:asciiTheme="minorEastAsia" w:hAnsiTheme="minorEastAsia" w:cs="Times New Roman"/>
          <w:color w:val="000000" w:themeColor="text1"/>
          <w:sz w:val="24"/>
          <w:szCs w:val="24"/>
        </w:rPr>
      </w:pPr>
      <w:r w:rsidRPr="00EA612D">
        <w:rPr>
          <w:rFonts w:asciiTheme="minorEastAsia" w:hAnsiTheme="minorEastAsia" w:cs="Times New Roman"/>
          <w:color w:val="000000" w:themeColor="text1"/>
          <w:sz w:val="24"/>
          <w:szCs w:val="24"/>
        </w:rPr>
        <w:t>由于评估基准</w:t>
      </w:r>
      <w:proofErr w:type="gramStart"/>
      <w:r w:rsidRPr="00EA612D">
        <w:rPr>
          <w:rFonts w:asciiTheme="minorEastAsia" w:hAnsiTheme="minorEastAsia" w:cs="Times New Roman"/>
          <w:color w:val="000000" w:themeColor="text1"/>
          <w:sz w:val="24"/>
          <w:szCs w:val="24"/>
        </w:rPr>
        <w:t>日资产</w:t>
      </w:r>
      <w:proofErr w:type="gramEnd"/>
      <w:r w:rsidRPr="00EA612D">
        <w:rPr>
          <w:rFonts w:asciiTheme="minorEastAsia" w:hAnsiTheme="minorEastAsia" w:cs="Times New Roman"/>
          <w:color w:val="000000" w:themeColor="text1"/>
          <w:sz w:val="24"/>
          <w:szCs w:val="24"/>
        </w:rPr>
        <w:t>基础法评估可辨认资产增减值较小，因此未考虑增减值影响因素，以2008年9月30日账面净资产额7,072.00万元确认为</w:t>
      </w:r>
      <w:proofErr w:type="gramStart"/>
      <w:r w:rsidRPr="00EA612D">
        <w:rPr>
          <w:rFonts w:asciiTheme="minorEastAsia" w:hAnsiTheme="minorEastAsia" w:cs="Times New Roman"/>
          <w:color w:val="000000" w:themeColor="text1"/>
          <w:sz w:val="24"/>
          <w:szCs w:val="24"/>
        </w:rPr>
        <w:t>合并日</w:t>
      </w:r>
      <w:proofErr w:type="gramEnd"/>
      <w:r w:rsidRPr="00EA612D">
        <w:rPr>
          <w:rFonts w:asciiTheme="minorEastAsia" w:hAnsiTheme="minorEastAsia" w:cs="Times New Roman"/>
          <w:color w:val="000000" w:themeColor="text1"/>
          <w:sz w:val="24"/>
          <w:szCs w:val="24"/>
        </w:rPr>
        <w:t>可辨认净资产公允价值。按持股比例35%计算享有</w:t>
      </w:r>
      <w:proofErr w:type="gramStart"/>
      <w:r w:rsidRPr="00EA612D">
        <w:rPr>
          <w:rFonts w:asciiTheme="minorEastAsia" w:hAnsiTheme="minorEastAsia" w:cs="Times New Roman"/>
          <w:color w:val="000000" w:themeColor="text1"/>
          <w:sz w:val="24"/>
          <w:szCs w:val="24"/>
        </w:rPr>
        <w:t>合并日</w:t>
      </w:r>
      <w:proofErr w:type="gramEnd"/>
      <w:r w:rsidRPr="00EA612D">
        <w:rPr>
          <w:rFonts w:asciiTheme="minorEastAsia" w:hAnsiTheme="minorEastAsia" w:cs="Times New Roman"/>
          <w:color w:val="000000" w:themeColor="text1"/>
          <w:sz w:val="24"/>
          <w:szCs w:val="24"/>
        </w:rPr>
        <w:t>可辨认净资产公允价值的额2,475.20万元，与收购成本之间的差额13,055.80万元确认为商誉。</w:t>
      </w:r>
    </w:p>
    <w:p w:rsidR="00A35D1A" w:rsidRPr="00EA612D" w:rsidRDefault="00A35D1A" w:rsidP="00F663C7">
      <w:pPr>
        <w:spacing w:line="360" w:lineRule="auto"/>
        <w:ind w:firstLineChars="200" w:firstLine="480"/>
        <w:rPr>
          <w:rFonts w:asciiTheme="minorEastAsia" w:hAnsiTheme="minorEastAsia" w:cs="Times New Roman"/>
          <w:color w:val="000000" w:themeColor="text1"/>
          <w:sz w:val="24"/>
          <w:szCs w:val="24"/>
        </w:rPr>
      </w:pPr>
      <w:r w:rsidRPr="00EA612D">
        <w:rPr>
          <w:rFonts w:asciiTheme="minorEastAsia" w:hAnsiTheme="minorEastAsia" w:cs="Times New Roman"/>
          <w:color w:val="000000" w:themeColor="text1"/>
          <w:sz w:val="24"/>
          <w:szCs w:val="24"/>
        </w:rPr>
        <w:t>上海优思通信科技有限公司在2014至2016年净利润分别为</w:t>
      </w:r>
      <w:r w:rsidR="00851D2F" w:rsidRPr="00EA612D">
        <w:rPr>
          <w:rFonts w:asciiTheme="minorEastAsia" w:hAnsiTheme="minorEastAsia" w:cs="Times New Roman" w:hint="eastAsia"/>
          <w:color w:val="000000" w:themeColor="text1"/>
          <w:sz w:val="24"/>
          <w:szCs w:val="24"/>
        </w:rPr>
        <w:t>8,494.42万</w:t>
      </w:r>
      <w:r w:rsidRPr="00EA612D">
        <w:rPr>
          <w:rFonts w:asciiTheme="minorEastAsia" w:hAnsiTheme="minorEastAsia" w:cs="Times New Roman"/>
          <w:color w:val="000000" w:themeColor="text1"/>
          <w:sz w:val="24"/>
          <w:szCs w:val="24"/>
        </w:rPr>
        <w:t>元、</w:t>
      </w:r>
      <w:r w:rsidR="00851D2F" w:rsidRPr="00EA612D">
        <w:rPr>
          <w:rFonts w:asciiTheme="minorEastAsia" w:hAnsiTheme="minorEastAsia" w:cs="Times New Roman" w:hint="eastAsia"/>
          <w:color w:val="000000" w:themeColor="text1"/>
          <w:sz w:val="24"/>
          <w:szCs w:val="24"/>
        </w:rPr>
        <w:t>799.94万</w:t>
      </w:r>
      <w:r w:rsidRPr="00EA612D">
        <w:rPr>
          <w:rFonts w:asciiTheme="minorEastAsia" w:hAnsiTheme="minorEastAsia" w:cs="Times New Roman"/>
          <w:color w:val="000000" w:themeColor="text1"/>
          <w:sz w:val="24"/>
          <w:szCs w:val="24"/>
        </w:rPr>
        <w:t>元及-</w:t>
      </w:r>
      <w:r w:rsidR="00851D2F" w:rsidRPr="00EA612D">
        <w:rPr>
          <w:rFonts w:asciiTheme="minorEastAsia" w:hAnsiTheme="minorEastAsia" w:cs="Times New Roman" w:hint="eastAsia"/>
          <w:color w:val="000000" w:themeColor="text1"/>
          <w:sz w:val="24"/>
          <w:szCs w:val="24"/>
        </w:rPr>
        <w:t>23,281.63万</w:t>
      </w:r>
      <w:r w:rsidRPr="00EA612D">
        <w:rPr>
          <w:rFonts w:asciiTheme="minorEastAsia" w:hAnsiTheme="minorEastAsia" w:cs="Times New Roman"/>
          <w:color w:val="000000" w:themeColor="text1"/>
          <w:sz w:val="24"/>
          <w:szCs w:val="24"/>
        </w:rPr>
        <w:t>元。</w:t>
      </w:r>
    </w:p>
    <w:p w:rsidR="00A35D1A" w:rsidRPr="00EA612D" w:rsidRDefault="00A35D1A" w:rsidP="00F663C7">
      <w:pPr>
        <w:spacing w:line="360" w:lineRule="auto"/>
        <w:ind w:firstLineChars="200" w:firstLine="480"/>
        <w:rPr>
          <w:rFonts w:asciiTheme="minorEastAsia" w:hAnsiTheme="minorEastAsia" w:cs="Times New Roman"/>
          <w:color w:val="000000" w:themeColor="text1"/>
          <w:sz w:val="24"/>
          <w:szCs w:val="24"/>
        </w:rPr>
      </w:pPr>
      <w:r w:rsidRPr="00EA612D">
        <w:rPr>
          <w:rFonts w:asciiTheme="minorEastAsia" w:hAnsiTheme="minorEastAsia" w:cs="Times New Roman"/>
          <w:color w:val="000000" w:themeColor="text1"/>
          <w:sz w:val="24"/>
          <w:szCs w:val="24"/>
        </w:rPr>
        <w:t>计提商誉减值准备的原因和依据：截止2016年12月31日，公司对上海优思通信科技有限公司的长期股权</w:t>
      </w:r>
      <w:r w:rsidR="00851D2F" w:rsidRPr="00EA612D">
        <w:rPr>
          <w:rFonts w:asciiTheme="minorEastAsia" w:hAnsiTheme="minorEastAsia" w:cs="Times New Roman" w:hint="eastAsia"/>
          <w:color w:val="000000" w:themeColor="text1"/>
          <w:sz w:val="24"/>
          <w:szCs w:val="24"/>
        </w:rPr>
        <w:t>投</w:t>
      </w:r>
      <w:r w:rsidRPr="00EA612D">
        <w:rPr>
          <w:rFonts w:asciiTheme="minorEastAsia" w:hAnsiTheme="minorEastAsia" w:cs="Times New Roman"/>
          <w:color w:val="000000" w:themeColor="text1"/>
          <w:sz w:val="24"/>
          <w:szCs w:val="24"/>
        </w:rPr>
        <w:t>资余额为42,881.00万元，已经计提商誉减值准备10,809.56万元</w:t>
      </w:r>
      <w:r w:rsidR="00851D2F" w:rsidRPr="00EA612D">
        <w:rPr>
          <w:rFonts w:asciiTheme="minorEastAsia" w:hAnsiTheme="minorEastAsia" w:cs="Times New Roman" w:hint="eastAsia"/>
          <w:color w:val="000000" w:themeColor="text1"/>
          <w:sz w:val="24"/>
          <w:szCs w:val="24"/>
        </w:rPr>
        <w:t>，</w:t>
      </w:r>
      <w:r w:rsidRPr="00EA612D">
        <w:rPr>
          <w:rFonts w:asciiTheme="minorEastAsia" w:hAnsiTheme="minorEastAsia" w:cs="Times New Roman"/>
          <w:color w:val="000000" w:themeColor="text1"/>
          <w:sz w:val="24"/>
          <w:szCs w:val="24"/>
        </w:rPr>
        <w:t>持有100.00%的股权。</w:t>
      </w:r>
      <w:r w:rsidR="00D0483C" w:rsidRPr="00EA612D">
        <w:rPr>
          <w:rFonts w:asciiTheme="minorEastAsia" w:hAnsiTheme="minorEastAsia" w:cs="Times New Roman" w:hint="eastAsia"/>
          <w:color w:val="000000" w:themeColor="text1"/>
          <w:sz w:val="24"/>
          <w:szCs w:val="24"/>
        </w:rPr>
        <w:t>2016年度，</w:t>
      </w:r>
      <w:r w:rsidR="00D0483C" w:rsidRPr="00EA612D">
        <w:rPr>
          <w:rFonts w:asciiTheme="minorEastAsia" w:hAnsiTheme="minorEastAsia" w:cs="Times New Roman"/>
          <w:color w:val="000000" w:themeColor="text1"/>
          <w:sz w:val="24"/>
          <w:szCs w:val="24"/>
        </w:rPr>
        <w:t>随着手机市场的品牌集中</w:t>
      </w:r>
      <w:r w:rsidR="00851D2F" w:rsidRPr="00EA612D">
        <w:rPr>
          <w:rFonts w:asciiTheme="minorEastAsia" w:hAnsiTheme="minorEastAsia" w:cs="Times New Roman" w:hint="eastAsia"/>
          <w:color w:val="000000" w:themeColor="text1"/>
          <w:sz w:val="24"/>
          <w:szCs w:val="24"/>
        </w:rPr>
        <w:t>，</w:t>
      </w:r>
      <w:r w:rsidRPr="00EA612D">
        <w:rPr>
          <w:rFonts w:asciiTheme="minorEastAsia" w:hAnsiTheme="minorEastAsia" w:cs="Times New Roman"/>
          <w:color w:val="000000" w:themeColor="text1"/>
          <w:sz w:val="24"/>
          <w:szCs w:val="24"/>
        </w:rPr>
        <w:t>传统的芯片厂商、设计厂商、手</w:t>
      </w:r>
      <w:r w:rsidR="00D717C5" w:rsidRPr="00EA612D">
        <w:rPr>
          <w:rFonts w:asciiTheme="minorEastAsia" w:hAnsiTheme="minorEastAsia" w:cs="Times New Roman" w:hint="eastAsia"/>
          <w:color w:val="000000" w:themeColor="text1"/>
          <w:sz w:val="24"/>
          <w:szCs w:val="24"/>
        </w:rPr>
        <w:t>机</w:t>
      </w:r>
      <w:r w:rsidRPr="00EA612D">
        <w:rPr>
          <w:rFonts w:asciiTheme="minorEastAsia" w:hAnsiTheme="minorEastAsia" w:cs="Times New Roman"/>
          <w:color w:val="000000" w:themeColor="text1"/>
          <w:sz w:val="24"/>
          <w:szCs w:val="24"/>
        </w:rPr>
        <w:t>品牌厂商分工合作模式发生变化。通用终端厂商加强自</w:t>
      </w:r>
      <w:proofErr w:type="gramStart"/>
      <w:r w:rsidRPr="00EA612D">
        <w:rPr>
          <w:rFonts w:asciiTheme="minorEastAsia" w:hAnsiTheme="minorEastAsia" w:cs="Times New Roman"/>
          <w:color w:val="000000" w:themeColor="text1"/>
          <w:sz w:val="24"/>
          <w:szCs w:val="24"/>
        </w:rPr>
        <w:t>研</w:t>
      </w:r>
      <w:proofErr w:type="gramEnd"/>
      <w:r w:rsidRPr="00EA612D">
        <w:rPr>
          <w:rFonts w:asciiTheme="minorEastAsia" w:hAnsiTheme="minorEastAsia" w:cs="Times New Roman"/>
          <w:color w:val="000000" w:themeColor="text1"/>
          <w:sz w:val="24"/>
          <w:szCs w:val="24"/>
        </w:rPr>
        <w:t>，代工模式渐弱，市场占有率快速下降，以及原材料成本上涨等因素的影响，上海优思通信科技有限公司的经营业绩出现大幅下滑</w:t>
      </w:r>
      <w:r w:rsidR="00D0483C" w:rsidRPr="00EA612D">
        <w:rPr>
          <w:rFonts w:asciiTheme="minorEastAsia" w:hAnsiTheme="minorEastAsia" w:cs="Times New Roman" w:hint="eastAsia"/>
          <w:color w:val="000000" w:themeColor="text1"/>
          <w:sz w:val="24"/>
          <w:szCs w:val="24"/>
        </w:rPr>
        <w:t>，</w:t>
      </w:r>
      <w:r w:rsidR="00D0483C" w:rsidRPr="00EA612D">
        <w:rPr>
          <w:rFonts w:asciiTheme="minorEastAsia" w:hAnsiTheme="minorEastAsia" w:cs="Times New Roman"/>
          <w:color w:val="000000" w:themeColor="text1"/>
          <w:sz w:val="24"/>
          <w:szCs w:val="24"/>
        </w:rPr>
        <w:t>公司商誉存在减值迹象。</w:t>
      </w:r>
    </w:p>
    <w:p w:rsidR="00A35D1A" w:rsidRPr="00EA612D" w:rsidRDefault="00A35D1A" w:rsidP="002765B3">
      <w:pPr>
        <w:spacing w:line="360" w:lineRule="auto"/>
        <w:ind w:firstLineChars="200" w:firstLine="480"/>
        <w:rPr>
          <w:rFonts w:asciiTheme="minorEastAsia" w:hAnsiTheme="minorEastAsia" w:cs="Times New Roman"/>
          <w:color w:val="000000" w:themeColor="text1"/>
          <w:sz w:val="24"/>
          <w:szCs w:val="24"/>
        </w:rPr>
      </w:pPr>
      <w:r w:rsidRPr="00EA612D">
        <w:rPr>
          <w:rFonts w:asciiTheme="minorEastAsia" w:hAnsiTheme="minorEastAsia" w:cs="Times New Roman"/>
          <w:color w:val="000000" w:themeColor="text1"/>
          <w:sz w:val="24"/>
          <w:szCs w:val="24"/>
        </w:rPr>
        <w:t>2016年末，根据评估机构认定上海优思通信科技有限公司全部权益的市场价值为32,022.09万元，与2016年末合并成本账面价值差额计提减值准备7,270.14万元。</w:t>
      </w:r>
    </w:p>
    <w:p w:rsidR="00A35D1A" w:rsidRPr="00EA612D" w:rsidRDefault="004C33E6" w:rsidP="002765B3">
      <w:pPr>
        <w:adjustRightInd w:val="0"/>
        <w:snapToGrid w:val="0"/>
        <w:spacing w:line="360" w:lineRule="auto"/>
        <w:ind w:firstLineChars="200" w:firstLine="480"/>
        <w:outlineLvl w:val="0"/>
        <w:rPr>
          <w:rFonts w:asciiTheme="minorEastAsia" w:hAnsiTheme="minorEastAsia" w:cs="Times New Roman"/>
          <w:color w:val="000000" w:themeColor="text1"/>
          <w:sz w:val="24"/>
          <w:szCs w:val="24"/>
        </w:rPr>
      </w:pPr>
      <w:r w:rsidRPr="00EA612D">
        <w:rPr>
          <w:rFonts w:asciiTheme="minorEastAsia" w:hAnsiTheme="minorEastAsia" w:cs="宋体" w:hint="eastAsia"/>
          <w:color w:val="000000" w:themeColor="text1"/>
          <w:sz w:val="24"/>
          <w:szCs w:val="24"/>
        </w:rPr>
        <w:t>③</w:t>
      </w:r>
      <w:r w:rsidR="00A35D1A" w:rsidRPr="00EA612D">
        <w:rPr>
          <w:rFonts w:asciiTheme="minorEastAsia" w:hAnsiTheme="minorEastAsia" w:cs="Times New Roman"/>
          <w:color w:val="000000" w:themeColor="text1"/>
          <w:sz w:val="24"/>
          <w:szCs w:val="24"/>
        </w:rPr>
        <w:t>江苏安防科技有限公司</w:t>
      </w:r>
    </w:p>
    <w:p w:rsidR="00A35D1A" w:rsidRPr="00EA612D" w:rsidRDefault="00A35D1A" w:rsidP="002765B3">
      <w:pPr>
        <w:spacing w:line="360" w:lineRule="auto"/>
        <w:ind w:firstLineChars="200" w:firstLine="480"/>
        <w:rPr>
          <w:rFonts w:asciiTheme="minorEastAsia" w:hAnsiTheme="minorEastAsia" w:cs="Times New Roman"/>
          <w:color w:val="000000" w:themeColor="text1"/>
          <w:sz w:val="24"/>
          <w:szCs w:val="24"/>
        </w:rPr>
      </w:pPr>
      <w:r w:rsidRPr="00EA612D">
        <w:rPr>
          <w:rFonts w:asciiTheme="minorEastAsia" w:hAnsiTheme="minorEastAsia" w:cs="Times New Roman"/>
          <w:color w:val="000000" w:themeColor="text1"/>
          <w:sz w:val="24"/>
          <w:szCs w:val="24"/>
        </w:rPr>
        <w:t>商誉的形成及经营情况：公司董事会审议通过《关于对收购江苏安防科技有限公司股权项目的议案》，以12,710.00万元现金收购德富</w:t>
      </w:r>
      <w:proofErr w:type="gramStart"/>
      <w:r w:rsidRPr="00EA612D">
        <w:rPr>
          <w:rFonts w:asciiTheme="minorEastAsia" w:hAnsiTheme="minorEastAsia" w:cs="Times New Roman"/>
          <w:color w:val="000000" w:themeColor="text1"/>
          <w:sz w:val="24"/>
          <w:szCs w:val="24"/>
        </w:rPr>
        <w:t>勤科技</w:t>
      </w:r>
      <w:proofErr w:type="gramEnd"/>
      <w:r w:rsidRPr="00EA612D">
        <w:rPr>
          <w:rFonts w:asciiTheme="minorEastAsia" w:hAnsiTheme="minorEastAsia" w:cs="Times New Roman"/>
          <w:color w:val="000000" w:themeColor="text1"/>
          <w:sz w:val="24"/>
          <w:szCs w:val="24"/>
        </w:rPr>
        <w:t>集团（厦门）有限公司持有的江苏安防科技有限公司41%的股权，同时公司出资2,027.45万元与江苏安防科技有限公司其他股东按各自持股比例对江苏安防科技有限公司进行增资，已于2012年9月10日办理了工商变更登记，公司持有江苏安防科技有限公司41%的股权。江苏安防科技有限公司及其全资子公司江苏安防信息技术有限公司于2012年9月20日纳入公司合并范围。</w:t>
      </w:r>
    </w:p>
    <w:p w:rsidR="00A35D1A" w:rsidRPr="00EA612D" w:rsidRDefault="00A35D1A" w:rsidP="00F663C7">
      <w:pPr>
        <w:spacing w:line="360" w:lineRule="auto"/>
        <w:ind w:firstLineChars="200" w:firstLine="480"/>
        <w:rPr>
          <w:rFonts w:asciiTheme="minorEastAsia" w:hAnsiTheme="minorEastAsia" w:cs="Times New Roman"/>
          <w:color w:val="000000" w:themeColor="text1"/>
          <w:sz w:val="24"/>
          <w:szCs w:val="24"/>
        </w:rPr>
      </w:pPr>
      <w:r w:rsidRPr="00EA612D">
        <w:rPr>
          <w:rFonts w:asciiTheme="minorEastAsia" w:hAnsiTheme="minorEastAsia" w:cs="Times New Roman"/>
          <w:color w:val="000000" w:themeColor="text1"/>
          <w:sz w:val="24"/>
          <w:szCs w:val="24"/>
        </w:rPr>
        <w:t>根据中资资产评估有限公司出具的中资评报【2012】第315号《评估报告》，采用收益法的评估结果，江苏安防科技有限公司</w:t>
      </w:r>
      <w:proofErr w:type="gramStart"/>
      <w:r w:rsidRPr="00EA612D">
        <w:rPr>
          <w:rFonts w:asciiTheme="minorEastAsia" w:hAnsiTheme="minorEastAsia" w:cs="Times New Roman"/>
          <w:color w:val="000000" w:themeColor="text1"/>
          <w:sz w:val="24"/>
          <w:szCs w:val="24"/>
        </w:rPr>
        <w:t>合并日</w:t>
      </w:r>
      <w:proofErr w:type="gramEnd"/>
      <w:r w:rsidRPr="00EA612D">
        <w:rPr>
          <w:rFonts w:asciiTheme="minorEastAsia" w:hAnsiTheme="minorEastAsia" w:cs="Times New Roman"/>
          <w:color w:val="000000" w:themeColor="text1"/>
          <w:sz w:val="24"/>
          <w:szCs w:val="24"/>
        </w:rPr>
        <w:t>可辨认净资产公允价值确认为4,129.50万元，按持股比例41%计算金额1,693.10万元，与收购成本之间</w:t>
      </w:r>
      <w:r w:rsidRPr="00EA612D">
        <w:rPr>
          <w:rFonts w:asciiTheme="minorEastAsia" w:hAnsiTheme="minorEastAsia" w:cs="Times New Roman"/>
          <w:color w:val="000000" w:themeColor="text1"/>
          <w:sz w:val="24"/>
          <w:szCs w:val="24"/>
        </w:rPr>
        <w:lastRenderedPageBreak/>
        <w:t>差额11,016.90万元确认为商誉。</w:t>
      </w:r>
    </w:p>
    <w:p w:rsidR="00A35D1A" w:rsidRPr="00EA612D" w:rsidRDefault="00A35D1A" w:rsidP="00F663C7">
      <w:pPr>
        <w:spacing w:line="360" w:lineRule="auto"/>
        <w:ind w:firstLineChars="200" w:firstLine="480"/>
        <w:rPr>
          <w:rFonts w:asciiTheme="minorEastAsia" w:hAnsiTheme="minorEastAsia" w:cs="Times New Roman"/>
          <w:color w:val="000000" w:themeColor="text1"/>
          <w:sz w:val="24"/>
          <w:szCs w:val="24"/>
        </w:rPr>
      </w:pPr>
      <w:r w:rsidRPr="00EA612D">
        <w:rPr>
          <w:rFonts w:asciiTheme="minorEastAsia" w:hAnsiTheme="minorEastAsia" w:cs="Times New Roman"/>
          <w:color w:val="000000" w:themeColor="text1"/>
          <w:sz w:val="24"/>
          <w:szCs w:val="24"/>
        </w:rPr>
        <w:t>江苏安防科技有限公司在2014至2016年净利润分别为</w:t>
      </w:r>
      <w:r w:rsidR="00EA31AA" w:rsidRPr="00EA612D">
        <w:rPr>
          <w:rFonts w:asciiTheme="minorEastAsia" w:hAnsiTheme="minorEastAsia" w:cs="Times New Roman"/>
          <w:color w:val="000000" w:themeColor="text1"/>
          <w:sz w:val="24"/>
          <w:szCs w:val="24"/>
        </w:rPr>
        <w:t>4,188.43</w:t>
      </w:r>
      <w:r w:rsidR="00EA31AA" w:rsidRPr="00EA612D">
        <w:rPr>
          <w:rFonts w:asciiTheme="minorEastAsia" w:hAnsiTheme="minorEastAsia" w:cs="Times New Roman" w:hint="eastAsia"/>
          <w:color w:val="000000" w:themeColor="text1"/>
          <w:sz w:val="24"/>
          <w:szCs w:val="24"/>
        </w:rPr>
        <w:t>万</w:t>
      </w:r>
      <w:r w:rsidRPr="00EA612D">
        <w:rPr>
          <w:rFonts w:asciiTheme="minorEastAsia" w:hAnsiTheme="minorEastAsia" w:cs="Times New Roman"/>
          <w:color w:val="000000" w:themeColor="text1"/>
          <w:sz w:val="24"/>
          <w:szCs w:val="24"/>
        </w:rPr>
        <w:t>元、</w:t>
      </w:r>
      <w:r w:rsidR="00EA31AA" w:rsidRPr="00EA612D">
        <w:rPr>
          <w:rFonts w:asciiTheme="minorEastAsia" w:hAnsiTheme="minorEastAsia" w:cs="Times New Roman"/>
          <w:color w:val="000000" w:themeColor="text1"/>
          <w:sz w:val="24"/>
          <w:szCs w:val="24"/>
        </w:rPr>
        <w:t>3,577.29</w:t>
      </w:r>
      <w:r w:rsidR="00EA31AA" w:rsidRPr="00EA612D">
        <w:rPr>
          <w:rFonts w:asciiTheme="minorEastAsia" w:hAnsiTheme="minorEastAsia" w:cs="Times New Roman" w:hint="eastAsia"/>
          <w:color w:val="000000" w:themeColor="text1"/>
          <w:sz w:val="24"/>
          <w:szCs w:val="24"/>
        </w:rPr>
        <w:t>万</w:t>
      </w:r>
      <w:r w:rsidRPr="00EA612D">
        <w:rPr>
          <w:rFonts w:asciiTheme="minorEastAsia" w:hAnsiTheme="minorEastAsia" w:cs="Times New Roman"/>
          <w:color w:val="000000" w:themeColor="text1"/>
          <w:sz w:val="24"/>
          <w:szCs w:val="24"/>
        </w:rPr>
        <w:t>元及</w:t>
      </w:r>
      <w:r w:rsidR="00EA31AA" w:rsidRPr="00EA612D">
        <w:rPr>
          <w:rFonts w:asciiTheme="minorEastAsia" w:hAnsiTheme="minorEastAsia" w:cs="Times New Roman"/>
          <w:color w:val="000000" w:themeColor="text1"/>
          <w:sz w:val="24"/>
          <w:szCs w:val="24"/>
        </w:rPr>
        <w:t>1,203.52</w:t>
      </w:r>
      <w:r w:rsidR="00EA31AA" w:rsidRPr="00EA612D">
        <w:rPr>
          <w:rFonts w:asciiTheme="minorEastAsia" w:hAnsiTheme="minorEastAsia" w:cs="Times New Roman" w:hint="eastAsia"/>
          <w:color w:val="000000" w:themeColor="text1"/>
          <w:sz w:val="24"/>
          <w:szCs w:val="24"/>
        </w:rPr>
        <w:t>万</w:t>
      </w:r>
      <w:r w:rsidRPr="00EA612D">
        <w:rPr>
          <w:rFonts w:asciiTheme="minorEastAsia" w:hAnsiTheme="minorEastAsia" w:cs="Times New Roman"/>
          <w:color w:val="000000" w:themeColor="text1"/>
          <w:sz w:val="24"/>
          <w:szCs w:val="24"/>
        </w:rPr>
        <w:t>元。</w:t>
      </w:r>
    </w:p>
    <w:p w:rsidR="00A35D1A" w:rsidRPr="00EA612D" w:rsidRDefault="00A35D1A" w:rsidP="00F663C7">
      <w:pPr>
        <w:spacing w:line="360" w:lineRule="auto"/>
        <w:ind w:firstLineChars="200" w:firstLine="480"/>
        <w:rPr>
          <w:rFonts w:asciiTheme="minorEastAsia" w:hAnsiTheme="minorEastAsia" w:cs="Times New Roman"/>
          <w:color w:val="000000" w:themeColor="text1"/>
          <w:sz w:val="24"/>
          <w:szCs w:val="24"/>
        </w:rPr>
      </w:pPr>
      <w:r w:rsidRPr="00EA612D">
        <w:rPr>
          <w:rFonts w:asciiTheme="minorEastAsia" w:hAnsiTheme="minorEastAsia" w:cs="Times New Roman"/>
          <w:color w:val="000000" w:themeColor="text1"/>
          <w:sz w:val="24"/>
          <w:szCs w:val="24"/>
        </w:rPr>
        <w:t>计提商誉减值准备的原因和依据：截止2016年12月31日，公司对江苏安防科技有限公司的长期股权投资余额为14,737.45万元，已经计提商誉减值准备3,872.45万元，持有41.00%的股权。</w:t>
      </w:r>
      <w:r w:rsidR="001F67A3" w:rsidRPr="00EA612D">
        <w:rPr>
          <w:rFonts w:asciiTheme="minorEastAsia" w:hAnsiTheme="minorEastAsia" w:cs="Times New Roman"/>
          <w:color w:val="000000" w:themeColor="text1"/>
          <w:sz w:val="24"/>
          <w:szCs w:val="24"/>
        </w:rPr>
        <w:t>2016年度</w:t>
      </w:r>
      <w:r w:rsidR="001F67A3" w:rsidRPr="00EA612D">
        <w:rPr>
          <w:rFonts w:asciiTheme="minorEastAsia" w:hAnsiTheme="minorEastAsia" w:cs="Times New Roman" w:hint="eastAsia"/>
          <w:color w:val="000000" w:themeColor="text1"/>
          <w:sz w:val="24"/>
          <w:szCs w:val="24"/>
        </w:rPr>
        <w:t>，</w:t>
      </w:r>
      <w:r w:rsidR="001F67A3" w:rsidRPr="00EA612D">
        <w:rPr>
          <w:rFonts w:asciiTheme="minorEastAsia" w:hAnsiTheme="minorEastAsia" w:cs="Times New Roman"/>
          <w:color w:val="000000" w:themeColor="text1"/>
          <w:sz w:val="24"/>
          <w:szCs w:val="24"/>
        </w:rPr>
        <w:t>由于高速公路信息化市场趋于饱和，竞争加剧，</w:t>
      </w:r>
      <w:r w:rsidR="001F67A3" w:rsidRPr="00EA612D">
        <w:rPr>
          <w:rFonts w:asciiTheme="minorEastAsia" w:hAnsiTheme="minorEastAsia" w:cs="Times New Roman" w:hint="eastAsia"/>
          <w:color w:val="000000" w:themeColor="text1"/>
          <w:sz w:val="24"/>
          <w:szCs w:val="24"/>
        </w:rPr>
        <w:t>导致其合同总额及</w:t>
      </w:r>
      <w:r w:rsidR="001F67A3" w:rsidRPr="00EA612D">
        <w:rPr>
          <w:rFonts w:asciiTheme="minorEastAsia" w:hAnsiTheme="minorEastAsia" w:cs="Times New Roman"/>
          <w:color w:val="000000" w:themeColor="text1"/>
          <w:sz w:val="24"/>
          <w:szCs w:val="24"/>
        </w:rPr>
        <w:t>毛利率</w:t>
      </w:r>
      <w:r w:rsidR="001F67A3" w:rsidRPr="00EA612D">
        <w:rPr>
          <w:rFonts w:asciiTheme="minorEastAsia" w:hAnsiTheme="minorEastAsia" w:cs="Times New Roman" w:hint="eastAsia"/>
          <w:color w:val="000000" w:themeColor="text1"/>
          <w:sz w:val="24"/>
          <w:szCs w:val="24"/>
        </w:rPr>
        <w:t>较去年</w:t>
      </w:r>
      <w:r w:rsidR="001F67A3" w:rsidRPr="00EA612D">
        <w:rPr>
          <w:rFonts w:asciiTheme="minorEastAsia" w:hAnsiTheme="minorEastAsia" w:cs="Times New Roman"/>
          <w:color w:val="000000" w:themeColor="text1"/>
          <w:sz w:val="24"/>
          <w:szCs w:val="24"/>
        </w:rPr>
        <w:t>有所下降，江苏安防科技有限公司经营业绩出现下滑，公司商誉存在减值迹象。</w:t>
      </w:r>
    </w:p>
    <w:p w:rsidR="00A35D1A" w:rsidRPr="00EA612D" w:rsidRDefault="00A35D1A" w:rsidP="002765B3">
      <w:pPr>
        <w:spacing w:line="360" w:lineRule="auto"/>
        <w:ind w:firstLineChars="200" w:firstLine="480"/>
        <w:rPr>
          <w:rFonts w:asciiTheme="minorEastAsia" w:hAnsiTheme="minorEastAsia" w:cs="Times New Roman"/>
          <w:color w:val="000000" w:themeColor="text1"/>
          <w:sz w:val="24"/>
          <w:szCs w:val="24"/>
        </w:rPr>
      </w:pPr>
      <w:r w:rsidRPr="00EA612D">
        <w:rPr>
          <w:rFonts w:asciiTheme="minorEastAsia" w:hAnsiTheme="minorEastAsia" w:cs="Times New Roman"/>
          <w:color w:val="000000" w:themeColor="text1"/>
          <w:sz w:val="24"/>
          <w:szCs w:val="24"/>
        </w:rPr>
        <w:t>2016年末，根据评估机构认定江苏安防科技有限公司全部权益的市场价值为26,500.00万元</w:t>
      </w:r>
      <w:r w:rsidR="00EA31AA" w:rsidRPr="00EA612D">
        <w:rPr>
          <w:rFonts w:asciiTheme="minorEastAsia" w:hAnsiTheme="minorEastAsia" w:cs="Times New Roman" w:hint="eastAsia"/>
          <w:color w:val="000000" w:themeColor="text1"/>
          <w:sz w:val="24"/>
          <w:szCs w:val="24"/>
        </w:rPr>
        <w:t>，</w:t>
      </w:r>
      <w:r w:rsidRPr="00EA612D">
        <w:rPr>
          <w:rFonts w:asciiTheme="minorEastAsia" w:hAnsiTheme="minorEastAsia" w:cs="Times New Roman"/>
          <w:color w:val="000000" w:themeColor="text1"/>
          <w:sz w:val="24"/>
          <w:szCs w:val="24"/>
        </w:rPr>
        <w:t>按照股权比例享有净资产的份额与账面价值差额计提商誉减值准备3,872.45万元。</w:t>
      </w:r>
    </w:p>
    <w:p w:rsidR="00A35D1A" w:rsidRPr="00EA612D" w:rsidRDefault="004C33E6" w:rsidP="002765B3">
      <w:pPr>
        <w:adjustRightInd w:val="0"/>
        <w:snapToGrid w:val="0"/>
        <w:spacing w:line="360" w:lineRule="auto"/>
        <w:ind w:firstLineChars="200" w:firstLine="480"/>
        <w:outlineLvl w:val="0"/>
        <w:rPr>
          <w:rFonts w:asciiTheme="minorEastAsia" w:hAnsiTheme="minorEastAsia" w:cs="Times New Roman"/>
          <w:color w:val="000000" w:themeColor="text1"/>
          <w:sz w:val="24"/>
          <w:szCs w:val="24"/>
        </w:rPr>
      </w:pPr>
      <w:r w:rsidRPr="00EA612D">
        <w:rPr>
          <w:rFonts w:asciiTheme="minorEastAsia" w:hAnsiTheme="minorEastAsia" w:cs="宋体" w:hint="eastAsia"/>
          <w:color w:val="000000" w:themeColor="text1"/>
          <w:sz w:val="24"/>
          <w:szCs w:val="24"/>
        </w:rPr>
        <w:t>④</w:t>
      </w:r>
      <w:r w:rsidR="00A35D1A" w:rsidRPr="00EA612D">
        <w:rPr>
          <w:rFonts w:asciiTheme="minorEastAsia" w:hAnsiTheme="minorEastAsia" w:cs="Times New Roman"/>
          <w:color w:val="000000" w:themeColor="text1"/>
          <w:sz w:val="24"/>
          <w:szCs w:val="24"/>
        </w:rPr>
        <w:t>启东优思有限公司</w:t>
      </w:r>
    </w:p>
    <w:p w:rsidR="00A35D1A" w:rsidRPr="00EA612D" w:rsidRDefault="00A35D1A" w:rsidP="002765B3">
      <w:pPr>
        <w:spacing w:line="360" w:lineRule="auto"/>
        <w:ind w:firstLineChars="200" w:firstLine="480"/>
        <w:rPr>
          <w:rFonts w:asciiTheme="minorEastAsia" w:hAnsiTheme="minorEastAsia" w:cs="Times New Roman"/>
          <w:color w:val="000000" w:themeColor="text1"/>
          <w:sz w:val="24"/>
          <w:szCs w:val="24"/>
        </w:rPr>
      </w:pPr>
      <w:r w:rsidRPr="00EA612D">
        <w:rPr>
          <w:rFonts w:asciiTheme="minorEastAsia" w:hAnsiTheme="minorEastAsia" w:cs="Times New Roman"/>
          <w:color w:val="000000" w:themeColor="text1"/>
          <w:sz w:val="24"/>
          <w:szCs w:val="24"/>
        </w:rPr>
        <w:t>商誉的形成及经营情况：公司董事会和2012年第二次临时股东大会审议通过《关于公司非公开发行股份购买资产并募集配套资金的议案》。公司拟以非公开发行A 股股票方式购买资产并募集配套资金。其中，公司向自然人</w:t>
      </w:r>
      <w:proofErr w:type="gramStart"/>
      <w:r w:rsidRPr="00EA612D">
        <w:rPr>
          <w:rFonts w:asciiTheme="minorEastAsia" w:hAnsiTheme="minorEastAsia" w:cs="Times New Roman"/>
          <w:color w:val="000000" w:themeColor="text1"/>
          <w:sz w:val="24"/>
          <w:szCs w:val="24"/>
        </w:rPr>
        <w:t>顾新惠</w:t>
      </w:r>
      <w:proofErr w:type="gramEnd"/>
      <w:r w:rsidRPr="00EA612D">
        <w:rPr>
          <w:rFonts w:asciiTheme="minorEastAsia" w:hAnsiTheme="minorEastAsia" w:cs="Times New Roman"/>
          <w:color w:val="000000" w:themeColor="text1"/>
          <w:sz w:val="24"/>
          <w:szCs w:val="24"/>
        </w:rPr>
        <w:t>、熊碧辉发行股份，购买其合计持有的启东优思有限公司100%股权。启东优思有限公司于2012年10月16日纳入公司合并范围。</w:t>
      </w:r>
    </w:p>
    <w:p w:rsidR="00A35D1A" w:rsidRPr="00EA612D" w:rsidRDefault="00A35D1A" w:rsidP="00F663C7">
      <w:pPr>
        <w:spacing w:line="360" w:lineRule="auto"/>
        <w:ind w:firstLineChars="200" w:firstLine="480"/>
        <w:rPr>
          <w:rFonts w:asciiTheme="minorEastAsia" w:hAnsiTheme="minorEastAsia" w:cs="Times New Roman"/>
          <w:color w:val="000000" w:themeColor="text1"/>
          <w:sz w:val="24"/>
          <w:szCs w:val="24"/>
        </w:rPr>
      </w:pPr>
      <w:r w:rsidRPr="00EA612D">
        <w:rPr>
          <w:rFonts w:asciiTheme="minorEastAsia" w:hAnsiTheme="minorEastAsia" w:cs="Times New Roman"/>
          <w:color w:val="000000" w:themeColor="text1"/>
          <w:sz w:val="24"/>
          <w:szCs w:val="24"/>
        </w:rPr>
        <w:t>根据资产评估机构上海东洲资产评估有限公司出具的评估报告（沪东洲资评报字【2012】第0213207号），采用收益法的评估结果，启东优思有限公司股东全部权益价值于评估基准日2012年2月29日为7,360.00万元。</w:t>
      </w:r>
      <w:proofErr w:type="gramStart"/>
      <w:r w:rsidRPr="00EA612D">
        <w:rPr>
          <w:rFonts w:asciiTheme="minorEastAsia" w:hAnsiTheme="minorEastAsia" w:cs="Times New Roman"/>
          <w:color w:val="000000" w:themeColor="text1"/>
          <w:sz w:val="24"/>
          <w:szCs w:val="24"/>
        </w:rPr>
        <w:t>合并日</w:t>
      </w:r>
      <w:proofErr w:type="gramEnd"/>
      <w:r w:rsidRPr="00EA612D">
        <w:rPr>
          <w:rFonts w:asciiTheme="minorEastAsia" w:hAnsiTheme="minorEastAsia" w:cs="Times New Roman"/>
          <w:color w:val="000000" w:themeColor="text1"/>
          <w:sz w:val="24"/>
          <w:szCs w:val="24"/>
        </w:rPr>
        <w:t>启东优思有限公司可辨认净资产公允价值2,798.05万元，与支付的对价7,360.00元之间的差额4,561.95万元确认为商誉。</w:t>
      </w:r>
    </w:p>
    <w:p w:rsidR="00A35D1A" w:rsidRPr="00EA612D" w:rsidRDefault="00A35D1A" w:rsidP="00F663C7">
      <w:pPr>
        <w:spacing w:line="360" w:lineRule="auto"/>
        <w:ind w:firstLineChars="200" w:firstLine="480"/>
        <w:rPr>
          <w:rFonts w:asciiTheme="minorEastAsia" w:hAnsiTheme="minorEastAsia" w:cs="Times New Roman"/>
          <w:color w:val="000000" w:themeColor="text1"/>
          <w:sz w:val="24"/>
          <w:szCs w:val="24"/>
        </w:rPr>
      </w:pPr>
      <w:r w:rsidRPr="00EA612D">
        <w:rPr>
          <w:rFonts w:asciiTheme="minorEastAsia" w:hAnsiTheme="minorEastAsia" w:cs="Times New Roman"/>
          <w:color w:val="000000" w:themeColor="text1"/>
          <w:sz w:val="24"/>
          <w:szCs w:val="24"/>
        </w:rPr>
        <w:t>启东优思有限公司在2014至2016年净利润分别为</w:t>
      </w:r>
      <w:r w:rsidR="00EA31AA" w:rsidRPr="00EA612D">
        <w:rPr>
          <w:rFonts w:asciiTheme="minorEastAsia" w:hAnsiTheme="minorEastAsia" w:cs="Times New Roman"/>
          <w:color w:val="000000" w:themeColor="text1"/>
          <w:sz w:val="24"/>
          <w:szCs w:val="24"/>
        </w:rPr>
        <w:t>1,097.03</w:t>
      </w:r>
      <w:r w:rsidR="00EA31AA" w:rsidRPr="00EA612D">
        <w:rPr>
          <w:rFonts w:asciiTheme="minorEastAsia" w:hAnsiTheme="minorEastAsia" w:cs="Times New Roman" w:hint="eastAsia"/>
          <w:color w:val="000000" w:themeColor="text1"/>
          <w:sz w:val="24"/>
          <w:szCs w:val="24"/>
        </w:rPr>
        <w:t>万</w:t>
      </w:r>
      <w:r w:rsidRPr="00EA612D">
        <w:rPr>
          <w:rFonts w:asciiTheme="minorEastAsia" w:hAnsiTheme="minorEastAsia" w:cs="Times New Roman"/>
          <w:color w:val="000000" w:themeColor="text1"/>
          <w:sz w:val="24"/>
          <w:szCs w:val="24"/>
        </w:rPr>
        <w:t>元、</w:t>
      </w:r>
      <w:r w:rsidR="00EA31AA" w:rsidRPr="00EA612D">
        <w:rPr>
          <w:rFonts w:asciiTheme="minorEastAsia" w:hAnsiTheme="minorEastAsia" w:cs="Times New Roman"/>
          <w:color w:val="000000" w:themeColor="text1"/>
          <w:sz w:val="24"/>
          <w:szCs w:val="24"/>
        </w:rPr>
        <w:t>507.63</w:t>
      </w:r>
      <w:r w:rsidR="00EA31AA" w:rsidRPr="00EA612D">
        <w:rPr>
          <w:rFonts w:asciiTheme="minorEastAsia" w:hAnsiTheme="minorEastAsia" w:cs="Times New Roman" w:hint="eastAsia"/>
          <w:color w:val="000000" w:themeColor="text1"/>
          <w:sz w:val="24"/>
          <w:szCs w:val="24"/>
        </w:rPr>
        <w:t>万</w:t>
      </w:r>
      <w:r w:rsidRPr="00EA612D">
        <w:rPr>
          <w:rFonts w:asciiTheme="minorEastAsia" w:hAnsiTheme="minorEastAsia" w:cs="Times New Roman"/>
          <w:color w:val="000000" w:themeColor="text1"/>
          <w:sz w:val="24"/>
          <w:szCs w:val="24"/>
        </w:rPr>
        <w:t>元及</w:t>
      </w:r>
      <w:r w:rsidR="00EA31AA" w:rsidRPr="00EA612D">
        <w:rPr>
          <w:rFonts w:asciiTheme="minorEastAsia" w:hAnsiTheme="minorEastAsia" w:cs="Times New Roman"/>
          <w:color w:val="000000" w:themeColor="text1"/>
          <w:sz w:val="24"/>
          <w:szCs w:val="24"/>
        </w:rPr>
        <w:t>-925.88</w:t>
      </w:r>
      <w:r w:rsidR="00EA31AA" w:rsidRPr="00EA612D">
        <w:rPr>
          <w:rFonts w:asciiTheme="minorEastAsia" w:hAnsiTheme="minorEastAsia" w:cs="Times New Roman" w:hint="eastAsia"/>
          <w:color w:val="000000" w:themeColor="text1"/>
          <w:sz w:val="24"/>
          <w:szCs w:val="24"/>
        </w:rPr>
        <w:t>万</w:t>
      </w:r>
      <w:r w:rsidRPr="00EA612D">
        <w:rPr>
          <w:rFonts w:asciiTheme="minorEastAsia" w:hAnsiTheme="minorEastAsia" w:cs="Times New Roman"/>
          <w:color w:val="000000" w:themeColor="text1"/>
          <w:sz w:val="24"/>
          <w:szCs w:val="24"/>
        </w:rPr>
        <w:t>元。</w:t>
      </w:r>
    </w:p>
    <w:p w:rsidR="00A35D1A" w:rsidRPr="00EA612D" w:rsidRDefault="00A35D1A" w:rsidP="00F663C7">
      <w:pPr>
        <w:spacing w:line="360" w:lineRule="auto"/>
        <w:ind w:firstLineChars="200" w:firstLine="480"/>
        <w:rPr>
          <w:rFonts w:asciiTheme="minorEastAsia" w:hAnsiTheme="minorEastAsia" w:cs="Times New Roman"/>
          <w:color w:val="000000" w:themeColor="text1"/>
          <w:sz w:val="24"/>
          <w:szCs w:val="24"/>
        </w:rPr>
      </w:pPr>
      <w:r w:rsidRPr="00EA612D">
        <w:rPr>
          <w:rFonts w:asciiTheme="minorEastAsia" w:hAnsiTheme="minorEastAsia" w:cs="Times New Roman"/>
          <w:color w:val="000000" w:themeColor="text1"/>
          <w:sz w:val="24"/>
          <w:szCs w:val="24"/>
        </w:rPr>
        <w:t>计提商誉减值准备的原因和依据：截止2016年12月31日，公司对启东优思有限公司的长期股权投资为6,786.66万元，已经计提商誉减值准备1,810.92万元，持有100.00%的股权。</w:t>
      </w:r>
      <w:r w:rsidR="004033F8" w:rsidRPr="00EA612D">
        <w:rPr>
          <w:rFonts w:asciiTheme="minorEastAsia" w:hAnsiTheme="minorEastAsia" w:cs="Times New Roman"/>
          <w:color w:val="000000" w:themeColor="text1"/>
          <w:sz w:val="24"/>
          <w:szCs w:val="24"/>
        </w:rPr>
        <w:t>2016年度，</w:t>
      </w:r>
      <w:r w:rsidR="00883569" w:rsidRPr="00EA612D">
        <w:rPr>
          <w:rFonts w:asciiTheme="minorEastAsia" w:hAnsiTheme="minorEastAsia" w:cs="Times New Roman" w:hint="eastAsia"/>
          <w:color w:val="000000" w:themeColor="text1"/>
          <w:sz w:val="24"/>
          <w:szCs w:val="24"/>
        </w:rPr>
        <w:t>受行业市场影响，收入下降，而固定成本相对不变，导致毛利下降，</w:t>
      </w:r>
      <w:r w:rsidRPr="00EA612D">
        <w:rPr>
          <w:rFonts w:asciiTheme="minorEastAsia" w:hAnsiTheme="minorEastAsia" w:cs="Times New Roman"/>
          <w:color w:val="000000" w:themeColor="text1"/>
          <w:sz w:val="24"/>
          <w:szCs w:val="24"/>
        </w:rPr>
        <w:t>启东优思有限公司的经营业绩出现下滑，公司商誉存在减值迹象。</w:t>
      </w:r>
    </w:p>
    <w:p w:rsidR="00A35D1A" w:rsidRPr="00EA612D" w:rsidRDefault="00A35D1A" w:rsidP="00F663C7">
      <w:pPr>
        <w:spacing w:line="360" w:lineRule="auto"/>
        <w:ind w:firstLineChars="200" w:firstLine="480"/>
        <w:rPr>
          <w:rFonts w:asciiTheme="minorEastAsia" w:hAnsiTheme="minorEastAsia" w:cs="Times New Roman"/>
          <w:color w:val="000000" w:themeColor="text1"/>
          <w:sz w:val="24"/>
          <w:szCs w:val="24"/>
        </w:rPr>
      </w:pPr>
      <w:r w:rsidRPr="00EA612D">
        <w:rPr>
          <w:rFonts w:asciiTheme="minorEastAsia" w:hAnsiTheme="minorEastAsia" w:cs="Times New Roman"/>
          <w:color w:val="000000" w:themeColor="text1"/>
          <w:sz w:val="24"/>
          <w:szCs w:val="24"/>
        </w:rPr>
        <w:lastRenderedPageBreak/>
        <w:t>2016年末，根据评估机构认定启东优思有限公司全部权益的市场价值为5,549.08万元</w:t>
      </w:r>
      <w:r w:rsidR="00EA31AA" w:rsidRPr="00EA612D">
        <w:rPr>
          <w:rFonts w:asciiTheme="minorEastAsia" w:hAnsiTheme="minorEastAsia" w:cs="Times New Roman" w:hint="eastAsia"/>
          <w:color w:val="000000" w:themeColor="text1"/>
          <w:sz w:val="24"/>
          <w:szCs w:val="24"/>
        </w:rPr>
        <w:t>，</w:t>
      </w:r>
      <w:r w:rsidRPr="00EA612D">
        <w:rPr>
          <w:rFonts w:asciiTheme="minorEastAsia" w:hAnsiTheme="minorEastAsia" w:cs="Times New Roman"/>
          <w:color w:val="000000" w:themeColor="text1"/>
          <w:sz w:val="24"/>
          <w:szCs w:val="24"/>
        </w:rPr>
        <w:t>按照股权比例享有净资产的份额与账面价值差额计提商誉减值准备1,237.58万元。</w:t>
      </w:r>
    </w:p>
    <w:p w:rsidR="00A35D1A" w:rsidRPr="00EA612D" w:rsidRDefault="004C33E6" w:rsidP="00F663C7">
      <w:pPr>
        <w:adjustRightInd w:val="0"/>
        <w:snapToGrid w:val="0"/>
        <w:spacing w:line="360" w:lineRule="auto"/>
        <w:ind w:firstLineChars="200" w:firstLine="480"/>
        <w:outlineLvl w:val="0"/>
        <w:rPr>
          <w:rFonts w:asciiTheme="minorEastAsia" w:hAnsiTheme="minorEastAsia" w:cs="Times New Roman"/>
          <w:color w:val="000000" w:themeColor="text1"/>
          <w:sz w:val="24"/>
          <w:szCs w:val="24"/>
        </w:rPr>
      </w:pPr>
      <w:r w:rsidRPr="00EA612D">
        <w:rPr>
          <w:rFonts w:asciiTheme="minorEastAsia" w:hAnsiTheme="minorEastAsia" w:cs="宋体" w:hint="eastAsia"/>
          <w:color w:val="000000" w:themeColor="text1"/>
          <w:sz w:val="24"/>
          <w:szCs w:val="24"/>
        </w:rPr>
        <w:t>⑤</w:t>
      </w:r>
      <w:r w:rsidR="00A35D1A" w:rsidRPr="00EA612D">
        <w:rPr>
          <w:rFonts w:asciiTheme="minorEastAsia" w:hAnsiTheme="minorEastAsia" w:cs="Times New Roman"/>
          <w:color w:val="000000" w:themeColor="text1"/>
          <w:sz w:val="24"/>
          <w:szCs w:val="24"/>
        </w:rPr>
        <w:t>盛耀无线通讯科技（北京）有限公司</w:t>
      </w:r>
    </w:p>
    <w:p w:rsidR="00A35D1A" w:rsidRPr="00EA612D" w:rsidRDefault="00A35D1A" w:rsidP="00F663C7">
      <w:pPr>
        <w:spacing w:line="360" w:lineRule="auto"/>
        <w:ind w:firstLineChars="200" w:firstLine="480"/>
        <w:rPr>
          <w:rFonts w:asciiTheme="minorEastAsia" w:hAnsiTheme="minorEastAsia" w:cs="Times New Roman"/>
          <w:color w:val="000000" w:themeColor="text1"/>
          <w:sz w:val="24"/>
          <w:szCs w:val="24"/>
        </w:rPr>
      </w:pPr>
      <w:r w:rsidRPr="00EA612D">
        <w:rPr>
          <w:rFonts w:asciiTheme="minorEastAsia" w:hAnsiTheme="minorEastAsia" w:cs="Times New Roman"/>
          <w:color w:val="000000" w:themeColor="text1"/>
          <w:sz w:val="24"/>
          <w:szCs w:val="24"/>
        </w:rPr>
        <w:t>商誉的形成及经营情况：2011 年11 月，公司董事会以全票赞成审议通过了《关于公司收购盛耀无线通讯科技（北京）有限公司部分股权的议案》。公司与自然人吴遵祥和北京盛耀鼎成科技有限公司签署了《股权转让协议》，以现金1,700 万元收购吴遵祥和北京盛耀鼎成科技有限公司合计持有的盛耀无线通讯科技（北京）有限公司40%股权。</w:t>
      </w:r>
    </w:p>
    <w:p w:rsidR="00A35D1A" w:rsidRPr="00EA612D" w:rsidRDefault="00A35D1A" w:rsidP="00F663C7">
      <w:pPr>
        <w:spacing w:line="360" w:lineRule="auto"/>
        <w:ind w:firstLineChars="200" w:firstLine="480"/>
        <w:rPr>
          <w:rFonts w:asciiTheme="minorEastAsia" w:hAnsiTheme="minorEastAsia" w:cs="Times New Roman"/>
          <w:color w:val="000000" w:themeColor="text1"/>
          <w:sz w:val="24"/>
          <w:szCs w:val="24"/>
        </w:rPr>
      </w:pPr>
      <w:r w:rsidRPr="00EA612D">
        <w:rPr>
          <w:rFonts w:asciiTheme="minorEastAsia" w:hAnsiTheme="minorEastAsia" w:cs="Times New Roman"/>
          <w:color w:val="000000" w:themeColor="text1"/>
          <w:sz w:val="24"/>
          <w:szCs w:val="24"/>
        </w:rPr>
        <w:t>根据中资资产评估有限公司出具的中资评报【2011】第244 号《评估报告》，采用收益法的评估结果，盛耀无线通讯科技（北京）有限公司股东全部权益价值于评估基准日2011年9月30日为4,348.62 万元，公司拟收购盛耀无线通讯科技（北京）有限公司40%股权公允</w:t>
      </w:r>
      <w:proofErr w:type="gramStart"/>
      <w:r w:rsidRPr="00EA612D">
        <w:rPr>
          <w:rFonts w:asciiTheme="minorEastAsia" w:hAnsiTheme="minorEastAsia" w:cs="Times New Roman"/>
          <w:color w:val="000000" w:themeColor="text1"/>
          <w:sz w:val="24"/>
          <w:szCs w:val="24"/>
        </w:rPr>
        <w:t>价价值</w:t>
      </w:r>
      <w:proofErr w:type="gramEnd"/>
      <w:r w:rsidRPr="00EA612D">
        <w:rPr>
          <w:rFonts w:asciiTheme="minorEastAsia" w:hAnsiTheme="minorEastAsia" w:cs="Times New Roman"/>
          <w:color w:val="000000" w:themeColor="text1"/>
          <w:sz w:val="24"/>
          <w:szCs w:val="24"/>
        </w:rPr>
        <w:t>为1,739.45 万元。合并日盛耀无线通讯科技（北京）有限公司可辨认净资产公允价值确认为1,014.00万元，按持股比例40%计算金额405.60万元，与收购成本1,700.00万元之间差额1,294.40万元确认为商誉。</w:t>
      </w:r>
    </w:p>
    <w:p w:rsidR="00A35D1A" w:rsidRPr="00EA612D" w:rsidRDefault="00A35D1A" w:rsidP="00F663C7">
      <w:pPr>
        <w:spacing w:line="360" w:lineRule="auto"/>
        <w:ind w:firstLineChars="200" w:firstLine="480"/>
        <w:rPr>
          <w:rFonts w:asciiTheme="minorEastAsia" w:hAnsiTheme="minorEastAsia" w:cs="Times New Roman"/>
          <w:color w:val="000000" w:themeColor="text1"/>
          <w:sz w:val="24"/>
          <w:szCs w:val="24"/>
        </w:rPr>
      </w:pPr>
      <w:r w:rsidRPr="00EA612D">
        <w:rPr>
          <w:rFonts w:asciiTheme="minorEastAsia" w:hAnsiTheme="minorEastAsia" w:cs="Times New Roman"/>
          <w:color w:val="000000" w:themeColor="text1"/>
          <w:sz w:val="24"/>
          <w:szCs w:val="24"/>
        </w:rPr>
        <w:t>盛耀无线通讯科技（北京）有限公司在2014至2016年净利润分别为55.26万元、20.99万元及-2,365.44万元。</w:t>
      </w:r>
    </w:p>
    <w:p w:rsidR="00A35D1A" w:rsidRPr="00EA612D" w:rsidRDefault="00A35D1A" w:rsidP="00F663C7">
      <w:pPr>
        <w:spacing w:line="360" w:lineRule="auto"/>
        <w:ind w:firstLineChars="200" w:firstLine="480"/>
        <w:rPr>
          <w:rFonts w:asciiTheme="minorEastAsia" w:hAnsiTheme="minorEastAsia" w:cs="Times New Roman"/>
          <w:color w:val="000000" w:themeColor="text1"/>
          <w:sz w:val="24"/>
          <w:szCs w:val="24"/>
        </w:rPr>
      </w:pPr>
      <w:r w:rsidRPr="00EA612D">
        <w:rPr>
          <w:rFonts w:asciiTheme="minorEastAsia" w:hAnsiTheme="minorEastAsia" w:cs="Times New Roman"/>
          <w:color w:val="000000" w:themeColor="text1"/>
          <w:sz w:val="24"/>
          <w:szCs w:val="24"/>
        </w:rPr>
        <w:t>计提商誉减值准备的原因和依据：截止2016年12月31日，公司对盛耀无线通讯科技（北京）有限公司的长期股权投资余额为1,700.00万元，已经将形成的商誉1,294.40万元全额计提减值,持有100.00%的股权。随着</w:t>
      </w:r>
      <w:r w:rsidR="00AA2AFF" w:rsidRPr="00EA612D">
        <w:rPr>
          <w:rFonts w:asciiTheme="minorEastAsia" w:hAnsiTheme="minorEastAsia" w:cs="Times New Roman" w:hint="eastAsia"/>
          <w:color w:val="000000" w:themeColor="text1"/>
          <w:sz w:val="24"/>
          <w:szCs w:val="24"/>
        </w:rPr>
        <w:t>市场环境变化，手机方案设计公司</w:t>
      </w:r>
      <w:r w:rsidRPr="00EA612D">
        <w:rPr>
          <w:rFonts w:asciiTheme="minorEastAsia" w:hAnsiTheme="minorEastAsia" w:cs="Times New Roman"/>
          <w:color w:val="000000" w:themeColor="text1"/>
          <w:sz w:val="24"/>
          <w:szCs w:val="24"/>
        </w:rPr>
        <w:t>以销售方案或者主板（PCBA）收取设计费的模式受到较大冲击。盛耀无线通讯科技（北京）有限公司的经营业绩出现大幅下滑，并出现亏损，公司在收购盛耀无线通讯科技（北京）有限公司过程中形成的商誉存在减值迹象。</w:t>
      </w:r>
    </w:p>
    <w:p w:rsidR="00A35D1A" w:rsidRPr="00EA612D" w:rsidRDefault="00A35D1A" w:rsidP="00F663C7">
      <w:pPr>
        <w:spacing w:line="360" w:lineRule="auto"/>
        <w:ind w:firstLineChars="200" w:firstLine="480"/>
        <w:rPr>
          <w:rFonts w:asciiTheme="minorEastAsia" w:hAnsiTheme="minorEastAsia" w:cs="Times New Roman"/>
          <w:color w:val="000000" w:themeColor="text1"/>
          <w:sz w:val="24"/>
          <w:szCs w:val="24"/>
        </w:rPr>
      </w:pPr>
      <w:r w:rsidRPr="00EA612D">
        <w:rPr>
          <w:rFonts w:asciiTheme="minorEastAsia" w:hAnsiTheme="minorEastAsia" w:cs="Times New Roman"/>
          <w:color w:val="000000" w:themeColor="text1"/>
          <w:sz w:val="24"/>
          <w:szCs w:val="24"/>
        </w:rPr>
        <w:t>2016年末，根据评估机构认定盛耀无线通讯科技（北京）有限公司全部权益的市场价值为-1,091.75万元</w:t>
      </w:r>
      <w:r w:rsidR="00EA31AA" w:rsidRPr="00EA612D">
        <w:rPr>
          <w:rFonts w:asciiTheme="minorEastAsia" w:hAnsiTheme="minorEastAsia" w:cs="Times New Roman" w:hint="eastAsia"/>
          <w:color w:val="000000" w:themeColor="text1"/>
          <w:sz w:val="24"/>
          <w:szCs w:val="24"/>
        </w:rPr>
        <w:t>，</w:t>
      </w:r>
      <w:r w:rsidRPr="00EA612D">
        <w:rPr>
          <w:rFonts w:asciiTheme="minorEastAsia" w:hAnsiTheme="minorEastAsia" w:cs="Times New Roman"/>
          <w:color w:val="000000" w:themeColor="text1"/>
          <w:sz w:val="24"/>
          <w:szCs w:val="24"/>
        </w:rPr>
        <w:t>公司在合并盛耀无线通讯科技（北京）有限公司过程中形成的商誉1,294.40万元需要全额计提商誉减值准备。</w:t>
      </w:r>
    </w:p>
    <w:p w:rsidR="00A35D1A" w:rsidRPr="00EA612D" w:rsidRDefault="004C33E6" w:rsidP="00F663C7">
      <w:pPr>
        <w:adjustRightInd w:val="0"/>
        <w:snapToGrid w:val="0"/>
        <w:spacing w:line="360" w:lineRule="auto"/>
        <w:ind w:firstLineChars="200" w:firstLine="480"/>
        <w:outlineLvl w:val="0"/>
        <w:rPr>
          <w:rFonts w:asciiTheme="minorEastAsia" w:hAnsiTheme="minorEastAsia" w:cs="Times New Roman"/>
          <w:color w:val="000000" w:themeColor="text1"/>
          <w:sz w:val="24"/>
          <w:szCs w:val="24"/>
        </w:rPr>
      </w:pPr>
      <w:r w:rsidRPr="00EA612D">
        <w:rPr>
          <w:rFonts w:asciiTheme="minorEastAsia" w:hAnsiTheme="minorEastAsia" w:cs="宋体" w:hint="eastAsia"/>
          <w:color w:val="000000" w:themeColor="text1"/>
          <w:sz w:val="24"/>
          <w:szCs w:val="24"/>
        </w:rPr>
        <w:t>⑥</w:t>
      </w:r>
      <w:r w:rsidR="00A35D1A" w:rsidRPr="00EA612D">
        <w:rPr>
          <w:rFonts w:asciiTheme="minorEastAsia" w:hAnsiTheme="minorEastAsia" w:cs="Times New Roman"/>
          <w:color w:val="000000" w:themeColor="text1"/>
          <w:sz w:val="24"/>
          <w:szCs w:val="24"/>
        </w:rPr>
        <w:t>大唐微电子技术有限公司</w:t>
      </w:r>
    </w:p>
    <w:p w:rsidR="00A35D1A" w:rsidRPr="00EA612D" w:rsidRDefault="00A35D1A" w:rsidP="00F663C7">
      <w:pPr>
        <w:spacing w:line="360" w:lineRule="auto"/>
        <w:ind w:firstLineChars="200" w:firstLine="480"/>
        <w:rPr>
          <w:rFonts w:asciiTheme="minorEastAsia" w:hAnsiTheme="minorEastAsia" w:cs="Times New Roman"/>
          <w:color w:val="000000" w:themeColor="text1"/>
          <w:sz w:val="24"/>
          <w:szCs w:val="24"/>
        </w:rPr>
      </w:pPr>
      <w:r w:rsidRPr="00EA612D">
        <w:rPr>
          <w:rFonts w:asciiTheme="minorEastAsia" w:hAnsiTheme="minorEastAsia" w:cs="Times New Roman"/>
          <w:color w:val="000000" w:themeColor="text1"/>
          <w:sz w:val="24"/>
          <w:szCs w:val="24"/>
        </w:rPr>
        <w:t>商誉的形成及经营情况：公司回购华平投资中国投资第一有限公司直接持有</w:t>
      </w:r>
      <w:r w:rsidRPr="00EA612D">
        <w:rPr>
          <w:rFonts w:asciiTheme="minorEastAsia" w:hAnsiTheme="minorEastAsia" w:cs="Times New Roman"/>
          <w:color w:val="000000" w:themeColor="text1"/>
          <w:sz w:val="24"/>
          <w:szCs w:val="24"/>
        </w:rPr>
        <w:lastRenderedPageBreak/>
        <w:t>大唐微电子技术有限公司5%的股权和通过大唐电信（控股）有限公司间接持有大唐微电子技术有限公司31.71%的股权，以2005年年末大唐微电子技术有限公司净资产为基准协议价款与为12,061.80万元，与按36.71%应享有2005年末大唐微电子技术有限公司净资产权益的差额为1,128.02万元。在合并</w:t>
      </w:r>
      <w:proofErr w:type="gramStart"/>
      <w:r w:rsidRPr="00EA612D">
        <w:rPr>
          <w:rFonts w:asciiTheme="minorEastAsia" w:hAnsiTheme="minorEastAsia" w:cs="Times New Roman"/>
          <w:color w:val="000000" w:themeColor="text1"/>
          <w:sz w:val="24"/>
          <w:szCs w:val="24"/>
        </w:rPr>
        <w:t>抵销</w:t>
      </w:r>
      <w:proofErr w:type="gramEnd"/>
      <w:r w:rsidRPr="00EA612D">
        <w:rPr>
          <w:rFonts w:asciiTheme="minorEastAsia" w:hAnsiTheme="minorEastAsia" w:cs="Times New Roman"/>
          <w:color w:val="000000" w:themeColor="text1"/>
          <w:sz w:val="24"/>
          <w:szCs w:val="24"/>
        </w:rPr>
        <w:t>大唐电信（控股）有限公司后，按照《企业会计准则33号—合并财务报表》形成商誉637.65万元。2008年，证监会对公司下达了中国证券监督管理委员会[2008]28号行政处罚决定书，公司认真核实，进行相关会计差错更正，调减收购大唐微电子技术有限公司股权形成的商誉483.39万元，最终形成商誉154.26万元。</w:t>
      </w:r>
    </w:p>
    <w:p w:rsidR="00A35D1A" w:rsidRPr="00EA612D" w:rsidRDefault="00A35D1A" w:rsidP="00F663C7">
      <w:pPr>
        <w:spacing w:line="360" w:lineRule="auto"/>
        <w:ind w:firstLineChars="200" w:firstLine="480"/>
        <w:rPr>
          <w:rFonts w:asciiTheme="minorEastAsia" w:hAnsiTheme="minorEastAsia" w:cs="Times New Roman"/>
          <w:color w:val="000000" w:themeColor="text1"/>
          <w:sz w:val="24"/>
          <w:szCs w:val="24"/>
        </w:rPr>
      </w:pPr>
      <w:r w:rsidRPr="00EA612D">
        <w:rPr>
          <w:rFonts w:asciiTheme="minorEastAsia" w:hAnsiTheme="minorEastAsia" w:cs="Times New Roman"/>
          <w:color w:val="000000" w:themeColor="text1"/>
          <w:sz w:val="24"/>
          <w:szCs w:val="24"/>
        </w:rPr>
        <w:t>大唐微电子技术有限公司在2014至2016年净利润分别为</w:t>
      </w:r>
      <w:r w:rsidR="00EA31AA" w:rsidRPr="00EA612D">
        <w:rPr>
          <w:rFonts w:asciiTheme="minorEastAsia" w:hAnsiTheme="minorEastAsia" w:cs="Times New Roman"/>
          <w:color w:val="000000" w:themeColor="text1"/>
          <w:sz w:val="24"/>
          <w:szCs w:val="24"/>
        </w:rPr>
        <w:t>14,712.81</w:t>
      </w:r>
      <w:r w:rsidR="00EA31AA" w:rsidRPr="00EA612D">
        <w:rPr>
          <w:rFonts w:asciiTheme="minorEastAsia" w:hAnsiTheme="minorEastAsia" w:cs="Times New Roman" w:hint="eastAsia"/>
          <w:color w:val="000000" w:themeColor="text1"/>
          <w:sz w:val="24"/>
          <w:szCs w:val="24"/>
        </w:rPr>
        <w:t>万</w:t>
      </w:r>
      <w:r w:rsidRPr="00EA612D">
        <w:rPr>
          <w:rFonts w:asciiTheme="minorEastAsia" w:hAnsiTheme="minorEastAsia" w:cs="Times New Roman"/>
          <w:color w:val="000000" w:themeColor="text1"/>
          <w:sz w:val="24"/>
          <w:szCs w:val="24"/>
        </w:rPr>
        <w:t>元、</w:t>
      </w:r>
      <w:r w:rsidR="00EA31AA" w:rsidRPr="00EA612D">
        <w:rPr>
          <w:rFonts w:asciiTheme="minorEastAsia" w:hAnsiTheme="minorEastAsia" w:cs="Times New Roman"/>
          <w:color w:val="000000" w:themeColor="text1"/>
          <w:sz w:val="24"/>
          <w:szCs w:val="24"/>
        </w:rPr>
        <w:t>6,173.08</w:t>
      </w:r>
      <w:r w:rsidR="00EA31AA" w:rsidRPr="00EA612D">
        <w:rPr>
          <w:rFonts w:asciiTheme="minorEastAsia" w:hAnsiTheme="minorEastAsia" w:cs="Times New Roman" w:hint="eastAsia"/>
          <w:color w:val="000000" w:themeColor="text1"/>
          <w:sz w:val="24"/>
          <w:szCs w:val="24"/>
        </w:rPr>
        <w:t>万</w:t>
      </w:r>
      <w:r w:rsidRPr="00EA612D">
        <w:rPr>
          <w:rFonts w:asciiTheme="minorEastAsia" w:hAnsiTheme="minorEastAsia" w:cs="Times New Roman"/>
          <w:color w:val="000000" w:themeColor="text1"/>
          <w:sz w:val="24"/>
          <w:szCs w:val="24"/>
        </w:rPr>
        <w:t>元及</w:t>
      </w:r>
      <w:r w:rsidR="00EA31AA" w:rsidRPr="00EA612D">
        <w:rPr>
          <w:rFonts w:asciiTheme="minorEastAsia" w:hAnsiTheme="minorEastAsia" w:cs="Times New Roman"/>
          <w:color w:val="000000" w:themeColor="text1"/>
          <w:sz w:val="24"/>
          <w:szCs w:val="24"/>
        </w:rPr>
        <w:t>2,405.52</w:t>
      </w:r>
      <w:r w:rsidR="00EA31AA" w:rsidRPr="00EA612D">
        <w:rPr>
          <w:rFonts w:asciiTheme="minorEastAsia" w:hAnsiTheme="minorEastAsia" w:cs="Times New Roman" w:hint="eastAsia"/>
          <w:color w:val="000000" w:themeColor="text1"/>
          <w:sz w:val="24"/>
          <w:szCs w:val="24"/>
        </w:rPr>
        <w:t>万</w:t>
      </w:r>
      <w:r w:rsidRPr="00EA612D">
        <w:rPr>
          <w:rFonts w:asciiTheme="minorEastAsia" w:hAnsiTheme="minorEastAsia" w:cs="Times New Roman"/>
          <w:color w:val="000000" w:themeColor="text1"/>
          <w:sz w:val="24"/>
          <w:szCs w:val="24"/>
        </w:rPr>
        <w:t>元。</w:t>
      </w:r>
    </w:p>
    <w:p w:rsidR="00A35D1A" w:rsidRPr="00EA612D" w:rsidRDefault="00A35D1A" w:rsidP="00F663C7">
      <w:pPr>
        <w:spacing w:line="360" w:lineRule="auto"/>
        <w:ind w:firstLineChars="200" w:firstLine="480"/>
        <w:rPr>
          <w:rFonts w:asciiTheme="minorEastAsia" w:hAnsiTheme="minorEastAsia" w:cs="Times New Roman"/>
          <w:color w:val="000000" w:themeColor="text1"/>
          <w:sz w:val="24"/>
          <w:szCs w:val="24"/>
        </w:rPr>
      </w:pPr>
      <w:r w:rsidRPr="00EA612D">
        <w:rPr>
          <w:rFonts w:asciiTheme="minorEastAsia" w:hAnsiTheme="minorEastAsia" w:cs="Times New Roman"/>
          <w:color w:val="000000" w:themeColor="text1"/>
          <w:sz w:val="24"/>
          <w:szCs w:val="24"/>
        </w:rPr>
        <w:t>不计提商誉减值准备的原因和依据：2016年末大唐微电子技术有限公司实现净利润2,405.52万元、账面净资产61,101.58万元，继续保持盈利能力，账面净资产远高于2005年年</w:t>
      </w:r>
      <w:proofErr w:type="gramStart"/>
      <w:r w:rsidRPr="00EA612D">
        <w:rPr>
          <w:rFonts w:asciiTheme="minorEastAsia" w:hAnsiTheme="minorEastAsia" w:cs="Times New Roman"/>
          <w:color w:val="000000" w:themeColor="text1"/>
          <w:sz w:val="24"/>
          <w:szCs w:val="24"/>
        </w:rPr>
        <w:t>末收购</w:t>
      </w:r>
      <w:proofErr w:type="gramEnd"/>
      <w:r w:rsidRPr="00EA612D">
        <w:rPr>
          <w:rFonts w:asciiTheme="minorEastAsia" w:hAnsiTheme="minorEastAsia" w:cs="Times New Roman"/>
          <w:color w:val="000000" w:themeColor="text1"/>
          <w:sz w:val="24"/>
          <w:szCs w:val="24"/>
        </w:rPr>
        <w:t>时对价。截止2016年12月31日，商誉不存在减值迹象。</w:t>
      </w:r>
    </w:p>
    <w:p w:rsidR="00A35D1A" w:rsidRPr="00EA612D" w:rsidRDefault="00F530DF" w:rsidP="00F663C7">
      <w:pPr>
        <w:spacing w:line="360" w:lineRule="auto"/>
        <w:ind w:firstLineChars="200" w:firstLine="480"/>
        <w:jc w:val="left"/>
        <w:rPr>
          <w:rFonts w:asciiTheme="minorEastAsia" w:hAnsiTheme="minorEastAsia" w:cs="Times New Roman"/>
          <w:color w:val="000000" w:themeColor="text1"/>
          <w:sz w:val="24"/>
          <w:szCs w:val="24"/>
        </w:rPr>
      </w:pPr>
      <w:r w:rsidRPr="00EA612D">
        <w:rPr>
          <w:rFonts w:asciiTheme="minorEastAsia" w:hAnsiTheme="minorEastAsia" w:cs="Times New Roman" w:hint="eastAsia"/>
          <w:color w:val="000000" w:themeColor="text1"/>
          <w:sz w:val="24"/>
          <w:szCs w:val="24"/>
        </w:rPr>
        <w:t>（2）</w:t>
      </w:r>
      <w:r w:rsidR="00A35D1A" w:rsidRPr="00EA612D">
        <w:rPr>
          <w:rFonts w:asciiTheme="minorEastAsia" w:hAnsiTheme="minorEastAsia" w:cs="Times New Roman"/>
          <w:color w:val="000000" w:themeColor="text1"/>
          <w:sz w:val="24"/>
          <w:szCs w:val="24"/>
        </w:rPr>
        <w:t>今年计提金额明显高于以往年度的原因及</w:t>
      </w:r>
      <w:r w:rsidR="001F67A3" w:rsidRPr="00EA612D">
        <w:rPr>
          <w:rFonts w:asciiTheme="minorEastAsia" w:hAnsiTheme="minorEastAsia" w:cs="Times New Roman"/>
          <w:color w:val="000000" w:themeColor="text1"/>
          <w:sz w:val="24"/>
          <w:szCs w:val="24"/>
        </w:rPr>
        <w:t>合理性</w:t>
      </w:r>
    </w:p>
    <w:p w:rsidR="00A35D1A" w:rsidRPr="00EA612D" w:rsidRDefault="00A35D1A" w:rsidP="00F663C7">
      <w:pPr>
        <w:spacing w:line="360" w:lineRule="auto"/>
        <w:ind w:firstLineChars="200" w:firstLine="480"/>
        <w:jc w:val="left"/>
        <w:rPr>
          <w:rFonts w:asciiTheme="minorEastAsia" w:hAnsiTheme="minorEastAsia" w:cs="Times New Roman"/>
          <w:color w:val="000000" w:themeColor="text1"/>
          <w:sz w:val="24"/>
          <w:szCs w:val="24"/>
        </w:rPr>
      </w:pPr>
      <w:r w:rsidRPr="00EA612D">
        <w:rPr>
          <w:rFonts w:asciiTheme="minorEastAsia" w:hAnsiTheme="minorEastAsia" w:cs="Times New Roman"/>
          <w:color w:val="000000" w:themeColor="text1"/>
          <w:sz w:val="24"/>
          <w:szCs w:val="24"/>
        </w:rPr>
        <w:t>今年计提金额明显高于以往年度的原因：2016年，公司计提商誉减值准备13,144.57万元，主要是终端设计板块计提商誉减值9,272.12万元（其中，上海优思通信科技有限公司计提减值7,270.14万元，盛耀无线通讯科技（北京）有限公司计提减值764.40万元和启东优思有限公司1,237.58万元）和江苏安防科技有限公司计提商誉减值3,872.45万元。</w:t>
      </w:r>
    </w:p>
    <w:p w:rsidR="001F67A3" w:rsidRPr="00EA612D" w:rsidRDefault="001F67A3" w:rsidP="00F663C7">
      <w:pPr>
        <w:spacing w:line="360" w:lineRule="auto"/>
        <w:ind w:firstLineChars="200" w:firstLine="480"/>
        <w:jc w:val="left"/>
        <w:rPr>
          <w:rFonts w:asciiTheme="minorEastAsia" w:hAnsiTheme="minorEastAsia" w:cs="Times New Roman"/>
          <w:color w:val="000000" w:themeColor="text1"/>
          <w:sz w:val="24"/>
          <w:szCs w:val="24"/>
        </w:rPr>
      </w:pPr>
      <w:r w:rsidRPr="00EA612D">
        <w:rPr>
          <w:rFonts w:asciiTheme="minorEastAsia" w:hAnsiTheme="minorEastAsia" w:cs="Times New Roman" w:hint="eastAsia"/>
          <w:color w:val="000000" w:themeColor="text1"/>
          <w:sz w:val="24"/>
          <w:szCs w:val="24"/>
        </w:rPr>
        <w:t>公司根据企业会计准则的规定，在每年年末对公司商誉进行减值测试，对存在减值的商誉计提减值准备。2016年度，由于上述行业变化的影响，</w:t>
      </w:r>
      <w:r w:rsidRPr="00EA612D">
        <w:rPr>
          <w:rFonts w:asciiTheme="minorEastAsia" w:hAnsiTheme="minorEastAsia" w:cs="Times New Roman"/>
          <w:color w:val="000000" w:themeColor="text1"/>
          <w:sz w:val="24"/>
          <w:szCs w:val="24"/>
        </w:rPr>
        <w:t>上海优思通信科技有限公司</w:t>
      </w:r>
      <w:r w:rsidRPr="00EA612D">
        <w:rPr>
          <w:rFonts w:asciiTheme="minorEastAsia" w:hAnsiTheme="minorEastAsia" w:cs="Times New Roman" w:hint="eastAsia"/>
          <w:color w:val="000000" w:themeColor="text1"/>
          <w:sz w:val="24"/>
          <w:szCs w:val="24"/>
        </w:rPr>
        <w:t>、</w:t>
      </w:r>
      <w:r w:rsidRPr="00EA612D">
        <w:rPr>
          <w:rFonts w:asciiTheme="minorEastAsia" w:hAnsiTheme="minorEastAsia" w:cs="Times New Roman"/>
          <w:color w:val="000000" w:themeColor="text1"/>
          <w:sz w:val="24"/>
          <w:szCs w:val="24"/>
        </w:rPr>
        <w:t>江苏安防科技有限公司</w:t>
      </w:r>
      <w:r w:rsidRPr="00EA612D">
        <w:rPr>
          <w:rFonts w:asciiTheme="minorEastAsia" w:hAnsiTheme="minorEastAsia" w:cs="Times New Roman" w:hint="eastAsia"/>
          <w:color w:val="000000" w:themeColor="text1"/>
          <w:sz w:val="24"/>
          <w:szCs w:val="24"/>
        </w:rPr>
        <w:t>、</w:t>
      </w:r>
      <w:r w:rsidRPr="00EA612D">
        <w:rPr>
          <w:rFonts w:asciiTheme="minorEastAsia" w:hAnsiTheme="minorEastAsia" w:cs="Times New Roman"/>
          <w:color w:val="000000" w:themeColor="text1"/>
          <w:sz w:val="24"/>
          <w:szCs w:val="24"/>
        </w:rPr>
        <w:t>启东优思有限公司</w:t>
      </w:r>
      <w:r w:rsidRPr="00EA612D">
        <w:rPr>
          <w:rFonts w:asciiTheme="minorEastAsia" w:hAnsiTheme="minorEastAsia" w:cs="Times New Roman" w:hint="eastAsia"/>
          <w:color w:val="000000" w:themeColor="text1"/>
          <w:sz w:val="24"/>
          <w:szCs w:val="24"/>
        </w:rPr>
        <w:t>、</w:t>
      </w:r>
      <w:r w:rsidRPr="00EA612D">
        <w:rPr>
          <w:rFonts w:asciiTheme="minorEastAsia" w:hAnsiTheme="minorEastAsia" w:cs="Times New Roman"/>
          <w:color w:val="000000" w:themeColor="text1"/>
          <w:sz w:val="24"/>
          <w:szCs w:val="24"/>
        </w:rPr>
        <w:t>盛耀无线通讯科技（北京）有限公司</w:t>
      </w:r>
      <w:r w:rsidRPr="00EA612D">
        <w:rPr>
          <w:rFonts w:asciiTheme="minorEastAsia" w:hAnsiTheme="minorEastAsia" w:cs="Times New Roman" w:hint="eastAsia"/>
          <w:color w:val="000000" w:themeColor="text1"/>
          <w:sz w:val="24"/>
          <w:szCs w:val="24"/>
        </w:rPr>
        <w:t>均未实现其</w:t>
      </w:r>
      <w:proofErr w:type="gramStart"/>
      <w:r w:rsidRPr="00EA612D">
        <w:rPr>
          <w:rFonts w:asciiTheme="minorEastAsia" w:hAnsiTheme="minorEastAsia" w:cs="Times New Roman" w:hint="eastAsia"/>
          <w:color w:val="000000" w:themeColor="text1"/>
          <w:sz w:val="24"/>
          <w:szCs w:val="24"/>
        </w:rPr>
        <w:t>其</w:t>
      </w:r>
      <w:proofErr w:type="gramEnd"/>
      <w:r w:rsidRPr="00EA612D">
        <w:rPr>
          <w:rFonts w:asciiTheme="minorEastAsia" w:hAnsiTheme="minorEastAsia" w:cs="Times New Roman" w:hint="eastAsia"/>
          <w:color w:val="000000" w:themeColor="text1"/>
          <w:sz w:val="24"/>
          <w:szCs w:val="24"/>
        </w:rPr>
        <w:t>在2015年末减值测试时预测的2016年利润额，导致公司2016年度计提金额较大。</w:t>
      </w:r>
    </w:p>
    <w:p w:rsidR="00A35D1A" w:rsidRPr="00EA612D" w:rsidRDefault="00F530DF" w:rsidP="00F663C7">
      <w:pPr>
        <w:spacing w:line="360" w:lineRule="auto"/>
        <w:ind w:firstLineChars="200" w:firstLine="480"/>
        <w:jc w:val="left"/>
        <w:rPr>
          <w:rFonts w:asciiTheme="minorEastAsia" w:hAnsiTheme="minorEastAsia" w:cs="Times New Roman"/>
          <w:color w:val="000000" w:themeColor="text1"/>
          <w:sz w:val="24"/>
          <w:szCs w:val="24"/>
        </w:rPr>
      </w:pPr>
      <w:r w:rsidRPr="00EA612D">
        <w:rPr>
          <w:rFonts w:asciiTheme="minorEastAsia" w:hAnsiTheme="minorEastAsia" w:cs="Times New Roman" w:hint="eastAsia"/>
          <w:color w:val="000000" w:themeColor="text1"/>
          <w:sz w:val="24"/>
          <w:szCs w:val="24"/>
        </w:rPr>
        <w:t>（3）</w:t>
      </w:r>
      <w:r w:rsidR="00A35D1A" w:rsidRPr="00EA612D">
        <w:rPr>
          <w:rFonts w:asciiTheme="minorEastAsia" w:hAnsiTheme="minorEastAsia" w:cs="Times New Roman"/>
          <w:color w:val="000000" w:themeColor="text1"/>
          <w:sz w:val="24"/>
          <w:szCs w:val="24"/>
        </w:rPr>
        <w:t>公司未来是否存在大额商誉减值的风险，若是，请充分提示风险</w:t>
      </w:r>
    </w:p>
    <w:p w:rsidR="00A35D1A" w:rsidRPr="00EA612D" w:rsidRDefault="00A35D1A" w:rsidP="00F663C7">
      <w:pPr>
        <w:spacing w:line="360" w:lineRule="auto"/>
        <w:ind w:firstLineChars="200" w:firstLine="480"/>
        <w:jc w:val="left"/>
        <w:rPr>
          <w:rFonts w:asciiTheme="minorEastAsia" w:hAnsiTheme="minorEastAsia" w:cs="Times New Roman"/>
          <w:color w:val="000000" w:themeColor="text1"/>
          <w:sz w:val="24"/>
          <w:szCs w:val="24"/>
        </w:rPr>
      </w:pPr>
      <w:r w:rsidRPr="00EA612D">
        <w:rPr>
          <w:rFonts w:asciiTheme="minorEastAsia" w:hAnsiTheme="minorEastAsia" w:cs="Times New Roman"/>
          <w:color w:val="000000" w:themeColor="text1"/>
          <w:sz w:val="24"/>
          <w:szCs w:val="24"/>
        </w:rPr>
        <w:t>公司商誉减值风险分析如下：</w:t>
      </w:r>
    </w:p>
    <w:p w:rsidR="00D67EE7" w:rsidRPr="00EA612D" w:rsidRDefault="00BD795D" w:rsidP="00BD795D">
      <w:pPr>
        <w:pStyle w:val="a6"/>
        <w:numPr>
          <w:ilvl w:val="0"/>
          <w:numId w:val="25"/>
        </w:numPr>
        <w:tabs>
          <w:tab w:val="left" w:pos="709"/>
        </w:tabs>
        <w:spacing w:line="360" w:lineRule="auto"/>
        <w:ind w:left="0" w:firstLineChars="0" w:firstLine="480"/>
        <w:rPr>
          <w:rFonts w:asciiTheme="minorEastAsia" w:hAnsiTheme="minorEastAsia" w:cs="Times New Roman"/>
          <w:color w:val="000000" w:themeColor="text1"/>
          <w:sz w:val="24"/>
          <w:szCs w:val="24"/>
        </w:rPr>
      </w:pPr>
      <w:r w:rsidRPr="00EA612D">
        <w:rPr>
          <w:rFonts w:asciiTheme="minorEastAsia" w:hAnsiTheme="minorEastAsia" w:cs="Times New Roman" w:hint="eastAsia"/>
          <w:color w:val="000000" w:themeColor="text1"/>
          <w:sz w:val="24"/>
          <w:szCs w:val="24"/>
        </w:rPr>
        <w:t>广州要玩娱乐网络技术有限公司所处的中国游戏行业的市场，2016年增速相较2015年有明显下降，预计未来3年会继续保持增速放缓的趋势。游戏行</w:t>
      </w:r>
      <w:r w:rsidRPr="00EA612D">
        <w:rPr>
          <w:rFonts w:asciiTheme="minorEastAsia" w:hAnsiTheme="minorEastAsia" w:cs="Times New Roman" w:hint="eastAsia"/>
          <w:color w:val="000000" w:themeColor="text1"/>
          <w:sz w:val="24"/>
          <w:szCs w:val="24"/>
        </w:rPr>
        <w:lastRenderedPageBreak/>
        <w:t>业巨头加大并购，并且把握了分发环节的渠道，具有较大的话语权。同时，游戏行业的法律监管体系也在不断完善，如果国家对网络游戏行业出台更为严格的监管政策，可能会对公司的经营业绩产生不利影响。面对日趋激烈的市场竞争和日益严格的行业监管，广州要玩娱乐网络技术有限公司在进一步加强游戏研发能力的提升及商业运营模式的探索，若进展顺利，则没有商誉减值风险，否则，存在较大的商誉减值风险。</w:t>
      </w:r>
    </w:p>
    <w:p w:rsidR="00A35D1A" w:rsidRPr="00EA612D" w:rsidRDefault="00BD795D" w:rsidP="00BD795D">
      <w:pPr>
        <w:pStyle w:val="a6"/>
        <w:numPr>
          <w:ilvl w:val="0"/>
          <w:numId w:val="25"/>
        </w:numPr>
        <w:spacing w:line="360" w:lineRule="auto"/>
        <w:ind w:left="0" w:firstLineChars="0" w:firstLine="480"/>
        <w:rPr>
          <w:rFonts w:asciiTheme="minorEastAsia" w:hAnsiTheme="minorEastAsia" w:cs="Times New Roman"/>
          <w:color w:val="000000" w:themeColor="text1"/>
          <w:sz w:val="24"/>
          <w:szCs w:val="24"/>
        </w:rPr>
      </w:pPr>
      <w:r w:rsidRPr="00EA612D">
        <w:rPr>
          <w:rFonts w:asciiTheme="minorEastAsia" w:hAnsiTheme="minorEastAsia" w:cs="Times New Roman" w:hint="eastAsia"/>
          <w:color w:val="000000" w:themeColor="text1"/>
          <w:sz w:val="24"/>
          <w:szCs w:val="24"/>
        </w:rPr>
        <w:t>上海优思通信科技有限公司和启东优思有限公司，随着智能手机市场增长减缓，领先的智能手机厂商自</w:t>
      </w:r>
      <w:proofErr w:type="gramStart"/>
      <w:r w:rsidRPr="00EA612D">
        <w:rPr>
          <w:rFonts w:asciiTheme="minorEastAsia" w:hAnsiTheme="minorEastAsia" w:cs="Times New Roman" w:hint="eastAsia"/>
          <w:color w:val="000000" w:themeColor="text1"/>
          <w:sz w:val="24"/>
          <w:szCs w:val="24"/>
        </w:rPr>
        <w:t>研</w:t>
      </w:r>
      <w:proofErr w:type="gramEnd"/>
      <w:r w:rsidRPr="00EA612D">
        <w:rPr>
          <w:rFonts w:asciiTheme="minorEastAsia" w:hAnsiTheme="minorEastAsia" w:cs="Times New Roman" w:hint="eastAsia"/>
          <w:color w:val="000000" w:themeColor="text1"/>
          <w:sz w:val="24"/>
          <w:szCs w:val="24"/>
        </w:rPr>
        <w:t>决心与能力都空前提高，ODM行业整体市场出现萎缩。ODM市场竞争加剧，市场集中</w:t>
      </w:r>
      <w:proofErr w:type="gramStart"/>
      <w:r w:rsidRPr="00EA612D">
        <w:rPr>
          <w:rFonts w:asciiTheme="minorEastAsia" w:hAnsiTheme="minorEastAsia" w:cs="Times New Roman" w:hint="eastAsia"/>
          <w:color w:val="000000" w:themeColor="text1"/>
          <w:sz w:val="24"/>
          <w:szCs w:val="24"/>
        </w:rPr>
        <w:t>度快速</w:t>
      </w:r>
      <w:proofErr w:type="gramEnd"/>
      <w:r w:rsidRPr="00EA612D">
        <w:rPr>
          <w:rFonts w:asciiTheme="minorEastAsia" w:hAnsiTheme="minorEastAsia" w:cs="Times New Roman" w:hint="eastAsia"/>
          <w:color w:val="000000" w:themeColor="text1"/>
          <w:sz w:val="24"/>
          <w:szCs w:val="24"/>
        </w:rPr>
        <w:t>提升，上海优思通信科技有限公司和启东优思有限公司未来的业务空间可能加速缩减。上海优思通信科技有限公司和启东优思有限公司正调整经营策略，利用海外市场机遇，提高海外产品销售。如调整有效，可避免商誉减值风险，否则，存在一定的商誉减值风险。</w:t>
      </w:r>
    </w:p>
    <w:p w:rsidR="00A35D1A" w:rsidRPr="00EA612D" w:rsidRDefault="00A35D1A" w:rsidP="00D67EE7">
      <w:pPr>
        <w:pStyle w:val="a6"/>
        <w:numPr>
          <w:ilvl w:val="0"/>
          <w:numId w:val="25"/>
        </w:numPr>
        <w:spacing w:line="360" w:lineRule="auto"/>
        <w:ind w:left="0" w:firstLineChars="0" w:firstLine="420"/>
        <w:rPr>
          <w:rFonts w:asciiTheme="minorEastAsia" w:hAnsiTheme="minorEastAsia" w:cs="Times New Roman"/>
          <w:color w:val="000000" w:themeColor="text1"/>
          <w:sz w:val="24"/>
          <w:szCs w:val="24"/>
        </w:rPr>
      </w:pPr>
      <w:r w:rsidRPr="00EA612D">
        <w:rPr>
          <w:rFonts w:asciiTheme="minorEastAsia" w:hAnsiTheme="minorEastAsia" w:cs="Times New Roman"/>
          <w:color w:val="000000" w:themeColor="text1"/>
          <w:sz w:val="24"/>
          <w:szCs w:val="24"/>
        </w:rPr>
        <w:t>江苏安防科技有限公司</w:t>
      </w:r>
      <w:r w:rsidR="00BD795D" w:rsidRPr="00EA612D">
        <w:rPr>
          <w:rFonts w:asciiTheme="minorEastAsia" w:hAnsiTheme="minorEastAsia" w:cs="Times New Roman" w:hint="eastAsia"/>
          <w:color w:val="000000" w:themeColor="text1"/>
          <w:sz w:val="24"/>
          <w:szCs w:val="24"/>
        </w:rPr>
        <w:t>所</w:t>
      </w:r>
      <w:r w:rsidRPr="00EA612D">
        <w:rPr>
          <w:rFonts w:asciiTheme="minorEastAsia" w:hAnsiTheme="minorEastAsia" w:cs="Times New Roman"/>
          <w:color w:val="000000" w:themeColor="text1"/>
          <w:sz w:val="24"/>
          <w:szCs w:val="24"/>
        </w:rPr>
        <w:t>处的高速公路信息化市场趋于饱和，竞争加剧，行业整体的毛利率缓步走低，行业巨头效应明显。江苏安防专注于智能交通、高速公路、轨道交通等行业市场，存在一定市场竞争压力。根据国家政策导向，运营服务是产业未来发展的趋势，江苏安防科技有限公司正向PPP模式转型</w:t>
      </w:r>
      <w:r w:rsidR="00D67EE7" w:rsidRPr="00EA612D">
        <w:rPr>
          <w:rFonts w:asciiTheme="minorEastAsia" w:hAnsiTheme="minorEastAsia" w:cs="Times New Roman" w:hint="eastAsia"/>
          <w:color w:val="000000" w:themeColor="text1"/>
          <w:sz w:val="24"/>
          <w:szCs w:val="24"/>
        </w:rPr>
        <w:t>，已启动市场调研，PPP模式研究，寻找合作项目</w:t>
      </w:r>
      <w:r w:rsidRPr="00EA612D">
        <w:rPr>
          <w:rFonts w:asciiTheme="minorEastAsia" w:hAnsiTheme="minorEastAsia" w:cs="Times New Roman"/>
          <w:color w:val="000000" w:themeColor="text1"/>
          <w:sz w:val="24"/>
          <w:szCs w:val="24"/>
        </w:rPr>
        <w:t>。但目前</w:t>
      </w:r>
      <w:r w:rsidR="00D67EE7" w:rsidRPr="00EA612D">
        <w:rPr>
          <w:rFonts w:asciiTheme="minorEastAsia" w:hAnsiTheme="minorEastAsia" w:cs="Times New Roman" w:hint="eastAsia"/>
          <w:color w:val="000000" w:themeColor="text1"/>
          <w:sz w:val="24"/>
          <w:szCs w:val="24"/>
        </w:rPr>
        <w:t>公司尚无PPP业务案例展示，进入市场有一定难度；</w:t>
      </w:r>
      <w:r w:rsidRPr="00EA612D">
        <w:rPr>
          <w:rFonts w:asciiTheme="minorEastAsia" w:hAnsiTheme="minorEastAsia" w:cs="Times New Roman"/>
          <w:color w:val="000000" w:themeColor="text1"/>
          <w:sz w:val="24"/>
          <w:szCs w:val="24"/>
        </w:rPr>
        <w:t>尚欠缺</w:t>
      </w:r>
      <w:r w:rsidR="00D67EE7" w:rsidRPr="00EA612D">
        <w:rPr>
          <w:rFonts w:asciiTheme="minorEastAsia" w:hAnsiTheme="minorEastAsia" w:cs="Times New Roman" w:hint="eastAsia"/>
          <w:color w:val="000000" w:themeColor="text1"/>
          <w:sz w:val="24"/>
          <w:szCs w:val="24"/>
        </w:rPr>
        <w:t>成熟的</w:t>
      </w:r>
      <w:r w:rsidRPr="00EA612D">
        <w:rPr>
          <w:rFonts w:asciiTheme="minorEastAsia" w:hAnsiTheme="minorEastAsia" w:cs="Times New Roman"/>
          <w:color w:val="000000" w:themeColor="text1"/>
          <w:sz w:val="24"/>
          <w:szCs w:val="24"/>
        </w:rPr>
        <w:t>运营服务能力，</w:t>
      </w:r>
      <w:r w:rsidR="00D67EE7" w:rsidRPr="00EA612D">
        <w:rPr>
          <w:rFonts w:asciiTheme="minorEastAsia" w:hAnsiTheme="minorEastAsia" w:cs="Times New Roman" w:hint="eastAsia"/>
          <w:color w:val="000000" w:themeColor="text1"/>
          <w:sz w:val="24"/>
          <w:szCs w:val="24"/>
        </w:rPr>
        <w:t>经营模式转型效果有待检验。若</w:t>
      </w:r>
      <w:r w:rsidRPr="00EA612D">
        <w:rPr>
          <w:rFonts w:asciiTheme="minorEastAsia" w:hAnsiTheme="minorEastAsia" w:cs="Times New Roman"/>
          <w:color w:val="000000" w:themeColor="text1"/>
          <w:sz w:val="24"/>
          <w:szCs w:val="24"/>
        </w:rPr>
        <w:t>其能成功转型，则不存在商誉减值风险，否则，存在一定的商誉减值风险。</w:t>
      </w:r>
    </w:p>
    <w:p w:rsidR="00A35D1A" w:rsidRPr="00EA612D" w:rsidRDefault="004C33E6" w:rsidP="00F663C7">
      <w:pPr>
        <w:spacing w:line="360" w:lineRule="auto"/>
        <w:ind w:firstLineChars="200" w:firstLine="480"/>
        <w:jc w:val="left"/>
        <w:rPr>
          <w:rFonts w:asciiTheme="minorEastAsia" w:hAnsiTheme="minorEastAsia" w:cs="Times New Roman"/>
          <w:color w:val="000000" w:themeColor="text1"/>
          <w:sz w:val="24"/>
          <w:szCs w:val="24"/>
        </w:rPr>
      </w:pPr>
      <w:r w:rsidRPr="00EA612D">
        <w:rPr>
          <w:rFonts w:asciiTheme="minorEastAsia" w:hAnsiTheme="minorEastAsia" w:cs="宋体" w:hint="eastAsia"/>
          <w:color w:val="000000" w:themeColor="text1"/>
          <w:sz w:val="24"/>
          <w:szCs w:val="24"/>
        </w:rPr>
        <w:t>④</w:t>
      </w:r>
      <w:r w:rsidR="00A35D1A" w:rsidRPr="00EA612D">
        <w:rPr>
          <w:rFonts w:asciiTheme="minorEastAsia" w:hAnsiTheme="minorEastAsia" w:cs="Times New Roman"/>
          <w:color w:val="000000" w:themeColor="text1"/>
          <w:sz w:val="24"/>
          <w:szCs w:val="24"/>
        </w:rPr>
        <w:t>大唐微电子技术有限公司所处的安全芯片市场稳步增长，发展前景好，目前虽然出现了部分新产品未达到预期的情况，但大唐微电子技术有限公司多年来保持较好的行业地位，拥有较好的技术创新能力，市场开拓与产品推出节奏稳健，基于该行业较为健康的发展预期，且其按收购比例确认的期末账面净资产已经远高于收购对价，该公司没有商誉减值风险。</w:t>
      </w:r>
    </w:p>
    <w:p w:rsidR="00A35D1A" w:rsidRPr="00EA612D" w:rsidRDefault="00A35D1A" w:rsidP="00F663C7">
      <w:pPr>
        <w:spacing w:line="360" w:lineRule="auto"/>
        <w:ind w:firstLineChars="200" w:firstLine="482"/>
        <w:rPr>
          <w:rFonts w:asciiTheme="minorEastAsia" w:hAnsiTheme="minorEastAsia" w:cs="Times New Roman"/>
          <w:b/>
          <w:color w:val="000000" w:themeColor="text1"/>
          <w:sz w:val="24"/>
          <w:szCs w:val="24"/>
        </w:rPr>
      </w:pPr>
      <w:r w:rsidRPr="00EA612D">
        <w:rPr>
          <w:rFonts w:asciiTheme="minorEastAsia" w:hAnsiTheme="minorEastAsia" w:cs="Times New Roman"/>
          <w:b/>
          <w:color w:val="000000" w:themeColor="text1"/>
          <w:sz w:val="24"/>
          <w:szCs w:val="24"/>
        </w:rPr>
        <w:t>会计师意见：</w:t>
      </w:r>
    </w:p>
    <w:p w:rsidR="00A35D1A" w:rsidRPr="00EA612D" w:rsidRDefault="00D10947" w:rsidP="00500E5D">
      <w:pPr>
        <w:spacing w:line="360" w:lineRule="auto"/>
        <w:ind w:firstLineChars="200" w:firstLine="480"/>
        <w:rPr>
          <w:rFonts w:asciiTheme="minorEastAsia" w:hAnsiTheme="minorEastAsia" w:cs="Times New Roman"/>
          <w:color w:val="000000" w:themeColor="text1"/>
          <w:sz w:val="24"/>
          <w:szCs w:val="24"/>
        </w:rPr>
      </w:pPr>
      <w:r w:rsidRPr="00EA612D">
        <w:rPr>
          <w:rFonts w:asciiTheme="minorEastAsia" w:hAnsiTheme="minorEastAsia" w:cs="Times New Roman" w:hint="eastAsia"/>
          <w:color w:val="000000" w:themeColor="text1"/>
          <w:sz w:val="24"/>
          <w:szCs w:val="24"/>
        </w:rPr>
        <w:t>我们获取了公司商誉确认及计量明细表，复核加计是否正确，获取有关合并协议和合并双方的董事会决议等文件、资料，结合企业合并的审计，判断合并是否属于非同</w:t>
      </w:r>
      <w:proofErr w:type="gramStart"/>
      <w:r w:rsidRPr="00EA612D">
        <w:rPr>
          <w:rFonts w:asciiTheme="minorEastAsia" w:hAnsiTheme="minorEastAsia" w:cs="Times New Roman" w:hint="eastAsia"/>
          <w:color w:val="000000" w:themeColor="text1"/>
          <w:sz w:val="24"/>
          <w:szCs w:val="24"/>
        </w:rPr>
        <w:t>一控制</w:t>
      </w:r>
      <w:proofErr w:type="gramEnd"/>
      <w:r w:rsidRPr="00EA612D">
        <w:rPr>
          <w:rFonts w:asciiTheme="minorEastAsia" w:hAnsiTheme="minorEastAsia" w:cs="Times New Roman" w:hint="eastAsia"/>
          <w:color w:val="000000" w:themeColor="text1"/>
          <w:sz w:val="24"/>
          <w:szCs w:val="24"/>
        </w:rPr>
        <w:t>的企业合并，了解企业合并的目的；复核商誉增加是否真实，判断购买日的确定是否正确，获取企业合并的相关审计报告、资产评估报告，结</w:t>
      </w:r>
      <w:r w:rsidRPr="00EA612D">
        <w:rPr>
          <w:rFonts w:asciiTheme="minorEastAsia" w:hAnsiTheme="minorEastAsia" w:cs="Times New Roman" w:hint="eastAsia"/>
          <w:color w:val="000000" w:themeColor="text1"/>
          <w:sz w:val="24"/>
          <w:szCs w:val="24"/>
        </w:rPr>
        <w:lastRenderedPageBreak/>
        <w:t>合企业合并的审计，分析被购买方可辨认净资产公允价值份额的合理性，复核会计处理是否正确并特别关注分步实现企业合并时，商誉的计算是否正确。对于商誉减值计提获取外部评估机构的评估报告等证明文件，并复核了资产组的确定方法、关键参数和评估测试过程中关键假设。复核减值准备计提的方法是否符合规定，前后期是否一致，依据是否充分，并</w:t>
      </w:r>
      <w:proofErr w:type="gramStart"/>
      <w:r w:rsidRPr="00EA612D">
        <w:rPr>
          <w:rFonts w:asciiTheme="minorEastAsia" w:hAnsiTheme="minorEastAsia" w:cs="Times New Roman" w:hint="eastAsia"/>
          <w:color w:val="000000" w:themeColor="text1"/>
          <w:sz w:val="24"/>
          <w:szCs w:val="24"/>
        </w:rPr>
        <w:t>作出</w:t>
      </w:r>
      <w:proofErr w:type="gramEnd"/>
      <w:r w:rsidRPr="00EA612D">
        <w:rPr>
          <w:rFonts w:asciiTheme="minorEastAsia" w:hAnsiTheme="minorEastAsia" w:cs="Times New Roman" w:hint="eastAsia"/>
          <w:color w:val="000000" w:themeColor="text1"/>
          <w:sz w:val="24"/>
          <w:szCs w:val="24"/>
        </w:rPr>
        <w:t>记录。我们认为：公司本期计提商誉减值准备</w:t>
      </w:r>
      <w:r w:rsidRPr="00EA612D">
        <w:rPr>
          <w:rFonts w:asciiTheme="minorEastAsia" w:hAnsiTheme="minorEastAsia" w:cs="Times New Roman"/>
          <w:color w:val="000000" w:themeColor="text1"/>
          <w:sz w:val="24"/>
          <w:szCs w:val="24"/>
        </w:rPr>
        <w:t>13,144.57万元，符合公司的实际情况及企业会计准则的规定，依据充分、合理，并对公司未来商誉是否存在减值的风险进行了充分提示。</w:t>
      </w:r>
    </w:p>
    <w:p w:rsidR="00A35D1A" w:rsidRPr="00EA612D" w:rsidRDefault="00A35D1A" w:rsidP="00F663C7">
      <w:pPr>
        <w:spacing w:line="360" w:lineRule="auto"/>
        <w:ind w:firstLineChars="200" w:firstLine="482"/>
        <w:jc w:val="left"/>
        <w:rPr>
          <w:rStyle w:val="a5"/>
          <w:rFonts w:asciiTheme="minorEastAsia" w:hAnsiTheme="minorEastAsia" w:cs="Times New Roman"/>
          <w:color w:val="000000" w:themeColor="text1"/>
          <w:sz w:val="24"/>
          <w:szCs w:val="24"/>
        </w:rPr>
      </w:pPr>
      <w:r w:rsidRPr="00EA612D">
        <w:rPr>
          <w:rStyle w:val="a5"/>
          <w:rFonts w:asciiTheme="minorEastAsia" w:hAnsiTheme="minorEastAsia" w:cs="Times New Roman"/>
          <w:color w:val="000000" w:themeColor="text1"/>
          <w:sz w:val="24"/>
          <w:szCs w:val="24"/>
        </w:rPr>
        <w:t>6.无形资产减值准备。年报披露，本期确认无形资产减值损失1.24 亿元。请公司补充披露无形资产减值的具体情况，本期计提1.24 亿元而上期未计提的原因、依据及合理性。请会计师核查并发表意见。</w:t>
      </w:r>
    </w:p>
    <w:p w:rsidR="00A35D1A" w:rsidRPr="00EA612D" w:rsidRDefault="00A35D1A" w:rsidP="00F663C7">
      <w:pPr>
        <w:spacing w:line="360" w:lineRule="auto"/>
        <w:ind w:firstLineChars="200" w:firstLine="482"/>
        <w:jc w:val="left"/>
        <w:rPr>
          <w:rStyle w:val="a5"/>
          <w:rFonts w:asciiTheme="minorEastAsia" w:hAnsiTheme="minorEastAsia" w:cs="Times New Roman"/>
          <w:color w:val="000000" w:themeColor="text1"/>
          <w:sz w:val="24"/>
          <w:szCs w:val="24"/>
        </w:rPr>
      </w:pPr>
      <w:r w:rsidRPr="00EA612D">
        <w:rPr>
          <w:rStyle w:val="a5"/>
          <w:rFonts w:asciiTheme="minorEastAsia" w:hAnsiTheme="minorEastAsia" w:cs="Times New Roman"/>
          <w:color w:val="000000" w:themeColor="text1"/>
          <w:sz w:val="24"/>
          <w:szCs w:val="24"/>
        </w:rPr>
        <w:t>公司回复：</w:t>
      </w:r>
    </w:p>
    <w:p w:rsidR="00A35D1A" w:rsidRPr="00EA612D" w:rsidRDefault="00F530DF" w:rsidP="00F663C7">
      <w:pPr>
        <w:spacing w:line="360" w:lineRule="auto"/>
        <w:ind w:firstLineChars="200" w:firstLine="480"/>
        <w:jc w:val="left"/>
        <w:rPr>
          <w:rStyle w:val="a5"/>
          <w:rFonts w:asciiTheme="minorEastAsia" w:hAnsiTheme="minorEastAsia" w:cs="Times New Roman"/>
          <w:b w:val="0"/>
          <w:color w:val="000000" w:themeColor="text1"/>
          <w:sz w:val="24"/>
          <w:szCs w:val="24"/>
        </w:rPr>
      </w:pPr>
      <w:r w:rsidRPr="00EA612D">
        <w:rPr>
          <w:rStyle w:val="a5"/>
          <w:rFonts w:asciiTheme="minorEastAsia" w:hAnsiTheme="minorEastAsia" w:cs="Times New Roman" w:hint="eastAsia"/>
          <w:b w:val="0"/>
          <w:color w:val="000000" w:themeColor="text1"/>
          <w:sz w:val="24"/>
          <w:szCs w:val="24"/>
        </w:rPr>
        <w:t>（1）</w:t>
      </w:r>
      <w:r w:rsidR="00A35D1A" w:rsidRPr="00EA612D">
        <w:rPr>
          <w:rStyle w:val="a5"/>
          <w:rFonts w:asciiTheme="minorEastAsia" w:hAnsiTheme="minorEastAsia" w:cs="Times New Roman"/>
          <w:b w:val="0"/>
          <w:color w:val="000000" w:themeColor="text1"/>
          <w:sz w:val="24"/>
          <w:szCs w:val="24"/>
        </w:rPr>
        <w:t>无形资产减值的具体情况</w:t>
      </w:r>
    </w:p>
    <w:p w:rsidR="00A35D1A" w:rsidRPr="00EA612D" w:rsidRDefault="00A35D1A" w:rsidP="00F663C7">
      <w:pPr>
        <w:spacing w:line="360" w:lineRule="auto"/>
        <w:ind w:firstLineChars="150" w:firstLine="360"/>
        <w:jc w:val="left"/>
        <w:rPr>
          <w:rFonts w:ascii="Times New Roman" w:hAnsi="Times New Roman" w:cs="Times New Roman"/>
          <w:color w:val="000000" w:themeColor="text1"/>
          <w:sz w:val="28"/>
          <w:szCs w:val="28"/>
        </w:rPr>
      </w:pPr>
      <w:r w:rsidRPr="00EA612D">
        <w:rPr>
          <w:rFonts w:asciiTheme="minorEastAsia" w:hAnsiTheme="minorEastAsia" w:cs="Times New Roman"/>
          <w:color w:val="000000" w:themeColor="text1"/>
          <w:sz w:val="24"/>
          <w:szCs w:val="24"/>
        </w:rPr>
        <w:t>公司每年年末对无形资产进行减值测试，比较无形资产账面价值与可收回金额情况。 2016年末，公司发现部分无形资产因市场变化、技术更新等变动，使其为公司创造经济利益的能力受到重大不利影响，公司本期确认无形资产减值损失</w:t>
      </w:r>
      <w:r w:rsidR="00412A82" w:rsidRPr="00EA612D">
        <w:rPr>
          <w:rFonts w:asciiTheme="minorEastAsia" w:hAnsiTheme="minorEastAsia" w:cs="Times New Roman"/>
          <w:color w:val="000000" w:themeColor="text1"/>
          <w:sz w:val="24"/>
          <w:szCs w:val="24"/>
        </w:rPr>
        <w:t>12,423.15</w:t>
      </w:r>
      <w:r w:rsidR="00412A82" w:rsidRPr="00EA612D">
        <w:rPr>
          <w:rFonts w:asciiTheme="minorEastAsia" w:hAnsiTheme="minorEastAsia" w:cs="Times New Roman" w:hint="eastAsia"/>
          <w:color w:val="000000" w:themeColor="text1"/>
          <w:sz w:val="24"/>
          <w:szCs w:val="24"/>
        </w:rPr>
        <w:t>万</w:t>
      </w:r>
      <w:r w:rsidRPr="00EA612D">
        <w:rPr>
          <w:rFonts w:asciiTheme="minorEastAsia" w:hAnsiTheme="minorEastAsia" w:cs="Times New Roman"/>
          <w:color w:val="000000" w:themeColor="text1"/>
          <w:sz w:val="24"/>
          <w:szCs w:val="24"/>
        </w:rPr>
        <w:t>元，分布情况见下表：</w:t>
      </w:r>
    </w:p>
    <w:p w:rsidR="00A35D1A" w:rsidRPr="00EA612D" w:rsidRDefault="00A35D1A" w:rsidP="000A32B1">
      <w:pPr>
        <w:adjustRightInd w:val="0"/>
        <w:snapToGrid w:val="0"/>
        <w:spacing w:line="400" w:lineRule="atLeast"/>
        <w:ind w:firstLineChars="200" w:firstLine="420"/>
        <w:jc w:val="right"/>
        <w:rPr>
          <w:rFonts w:ascii="Times New Roman" w:hAnsi="Times New Roman" w:cs="Times New Roman"/>
          <w:color w:val="000000" w:themeColor="text1"/>
          <w:szCs w:val="21"/>
        </w:rPr>
      </w:pPr>
      <w:r w:rsidRPr="00EA612D">
        <w:rPr>
          <w:rFonts w:ascii="Times New Roman" w:hAnsi="Times New Roman" w:cs="Times New Roman"/>
          <w:color w:val="000000" w:themeColor="text1"/>
          <w:szCs w:val="21"/>
        </w:rPr>
        <w:t>单位：人民币万元</w:t>
      </w:r>
    </w:p>
    <w:tbl>
      <w:tblPr>
        <w:tblW w:w="8377" w:type="dxa"/>
        <w:tblInd w:w="108"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266"/>
        <w:gridCol w:w="1845"/>
        <w:gridCol w:w="1704"/>
        <w:gridCol w:w="1562"/>
      </w:tblGrid>
      <w:tr w:rsidR="00835FFC" w:rsidRPr="00EA612D" w:rsidTr="00407769">
        <w:trPr>
          <w:trHeight w:val="241"/>
        </w:trPr>
        <w:tc>
          <w:tcPr>
            <w:tcW w:w="3266" w:type="dxa"/>
            <w:shd w:val="clear" w:color="auto" w:fill="auto"/>
            <w:vAlign w:val="center"/>
            <w:hideMark/>
          </w:tcPr>
          <w:p w:rsidR="00A35D1A" w:rsidRPr="00EA612D" w:rsidRDefault="00A35D1A" w:rsidP="000A32B1">
            <w:pPr>
              <w:snapToGrid w:val="0"/>
              <w:spacing w:line="200" w:lineRule="atLeast"/>
              <w:ind w:leftChars="-20" w:left="-42"/>
              <w:jc w:val="center"/>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减值资产情况</w:t>
            </w:r>
          </w:p>
        </w:tc>
        <w:tc>
          <w:tcPr>
            <w:tcW w:w="1845" w:type="dxa"/>
            <w:shd w:val="clear" w:color="auto" w:fill="auto"/>
            <w:hideMark/>
          </w:tcPr>
          <w:p w:rsidR="00A35D1A" w:rsidRPr="00EA612D" w:rsidRDefault="00A35D1A" w:rsidP="00A35D1A">
            <w:pPr>
              <w:snapToGrid w:val="0"/>
              <w:spacing w:line="200" w:lineRule="atLeast"/>
              <w:ind w:leftChars="-20" w:left="-42"/>
              <w:jc w:val="right"/>
              <w:rPr>
                <w:rFonts w:ascii="Times New Roman" w:eastAsia="宋体" w:hAnsi="Times New Roman" w:cs="Times New Roman"/>
                <w:color w:val="000000" w:themeColor="text1"/>
                <w:sz w:val="16"/>
                <w:szCs w:val="16"/>
              </w:rPr>
            </w:pPr>
            <w:r w:rsidRPr="00EA612D">
              <w:rPr>
                <w:rFonts w:ascii="Times New Roman" w:hAnsi="Times New Roman" w:cs="Times New Roman"/>
                <w:color w:val="000000" w:themeColor="text1"/>
                <w:sz w:val="16"/>
                <w:szCs w:val="16"/>
              </w:rPr>
              <w:t>软件、系统、许可费</w:t>
            </w:r>
          </w:p>
        </w:tc>
        <w:tc>
          <w:tcPr>
            <w:tcW w:w="1704" w:type="dxa"/>
            <w:shd w:val="clear" w:color="auto" w:fill="auto"/>
            <w:hideMark/>
          </w:tcPr>
          <w:p w:rsidR="00A35D1A" w:rsidRPr="00EA612D" w:rsidRDefault="00A35D1A" w:rsidP="00A35D1A">
            <w:pPr>
              <w:snapToGrid w:val="0"/>
              <w:spacing w:line="200" w:lineRule="atLeast"/>
              <w:ind w:leftChars="-20" w:left="-42"/>
              <w:jc w:val="right"/>
              <w:rPr>
                <w:rFonts w:ascii="Times New Roman" w:eastAsia="宋体" w:hAnsi="Times New Roman" w:cs="Times New Roman"/>
                <w:color w:val="000000" w:themeColor="text1"/>
                <w:sz w:val="16"/>
                <w:szCs w:val="16"/>
              </w:rPr>
            </w:pPr>
            <w:r w:rsidRPr="00EA612D">
              <w:rPr>
                <w:rFonts w:ascii="Times New Roman" w:hAnsi="Times New Roman" w:cs="Times New Roman"/>
                <w:color w:val="000000" w:themeColor="text1"/>
                <w:sz w:val="16"/>
                <w:szCs w:val="16"/>
              </w:rPr>
              <w:t>专有技术</w:t>
            </w:r>
          </w:p>
        </w:tc>
        <w:tc>
          <w:tcPr>
            <w:tcW w:w="1562" w:type="dxa"/>
            <w:shd w:val="clear" w:color="auto" w:fill="auto"/>
            <w:hideMark/>
          </w:tcPr>
          <w:p w:rsidR="00A35D1A" w:rsidRPr="00EA612D" w:rsidRDefault="00A35D1A" w:rsidP="00A35D1A">
            <w:pPr>
              <w:snapToGrid w:val="0"/>
              <w:spacing w:line="200" w:lineRule="atLeast"/>
              <w:ind w:leftChars="-20" w:left="-42"/>
              <w:jc w:val="right"/>
              <w:rPr>
                <w:rFonts w:ascii="Times New Roman" w:eastAsia="宋体" w:hAnsi="Times New Roman" w:cs="Times New Roman"/>
                <w:color w:val="000000" w:themeColor="text1"/>
                <w:sz w:val="16"/>
                <w:szCs w:val="16"/>
              </w:rPr>
            </w:pPr>
            <w:r w:rsidRPr="00EA612D">
              <w:rPr>
                <w:rFonts w:ascii="Times New Roman" w:hAnsi="Times New Roman" w:cs="Times New Roman"/>
                <w:color w:val="000000" w:themeColor="text1"/>
                <w:sz w:val="16"/>
                <w:szCs w:val="16"/>
              </w:rPr>
              <w:t>合计</w:t>
            </w:r>
          </w:p>
        </w:tc>
      </w:tr>
      <w:tr w:rsidR="00835FFC" w:rsidRPr="00EA612D" w:rsidTr="00407769">
        <w:trPr>
          <w:trHeight w:val="155"/>
        </w:trPr>
        <w:tc>
          <w:tcPr>
            <w:tcW w:w="3266" w:type="dxa"/>
            <w:shd w:val="clear" w:color="auto" w:fill="auto"/>
            <w:vAlign w:val="center"/>
            <w:hideMark/>
          </w:tcPr>
          <w:p w:rsidR="00A35D1A" w:rsidRPr="00EA612D" w:rsidRDefault="00A35D1A" w:rsidP="00A35D1A">
            <w:pPr>
              <w:snapToGrid w:val="0"/>
              <w:spacing w:line="200" w:lineRule="atLeast"/>
              <w:ind w:leftChars="-20" w:left="-42"/>
              <w:jc w:val="lef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金额</w:t>
            </w:r>
          </w:p>
        </w:tc>
        <w:tc>
          <w:tcPr>
            <w:tcW w:w="1845" w:type="dxa"/>
            <w:shd w:val="clear" w:color="auto" w:fill="auto"/>
            <w:vAlign w:val="center"/>
            <w:hideMark/>
          </w:tcPr>
          <w:p w:rsidR="00A35D1A" w:rsidRPr="00EA612D" w:rsidRDefault="00A35D1A" w:rsidP="00A35D1A">
            <w:pPr>
              <w:snapToGrid w:val="0"/>
              <w:spacing w:line="200" w:lineRule="atLeast"/>
              <w:ind w:leftChars="-20" w:left="-42"/>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3,109.59</w:t>
            </w:r>
          </w:p>
        </w:tc>
        <w:tc>
          <w:tcPr>
            <w:tcW w:w="1704" w:type="dxa"/>
            <w:shd w:val="clear" w:color="auto" w:fill="auto"/>
            <w:vAlign w:val="center"/>
            <w:hideMark/>
          </w:tcPr>
          <w:p w:rsidR="00A35D1A" w:rsidRPr="00EA612D" w:rsidRDefault="00A35D1A" w:rsidP="00A35D1A">
            <w:pPr>
              <w:snapToGrid w:val="0"/>
              <w:spacing w:line="200" w:lineRule="atLeast"/>
              <w:ind w:leftChars="-20" w:left="-42"/>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9,313.56</w:t>
            </w:r>
          </w:p>
        </w:tc>
        <w:tc>
          <w:tcPr>
            <w:tcW w:w="1562" w:type="dxa"/>
            <w:shd w:val="clear" w:color="auto" w:fill="auto"/>
            <w:vAlign w:val="center"/>
            <w:hideMark/>
          </w:tcPr>
          <w:p w:rsidR="00A35D1A" w:rsidRPr="00EA612D" w:rsidRDefault="00A35D1A" w:rsidP="00A35D1A">
            <w:pPr>
              <w:snapToGrid w:val="0"/>
              <w:spacing w:line="200" w:lineRule="atLeast"/>
              <w:ind w:leftChars="-20" w:left="-42"/>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12,423.15</w:t>
            </w:r>
          </w:p>
        </w:tc>
      </w:tr>
    </w:tbl>
    <w:p w:rsidR="00A35D1A" w:rsidRPr="00EA612D" w:rsidRDefault="00A35D1A" w:rsidP="00F663C7">
      <w:pPr>
        <w:ind w:firstLineChars="150" w:firstLine="360"/>
        <w:jc w:val="left"/>
        <w:rPr>
          <w:rFonts w:ascii="Times New Roman" w:hAnsi="Times New Roman" w:cs="Times New Roman"/>
          <w:color w:val="000000" w:themeColor="text1"/>
          <w:sz w:val="24"/>
          <w:szCs w:val="24"/>
        </w:rPr>
      </w:pPr>
      <w:r w:rsidRPr="00EA612D">
        <w:rPr>
          <w:rFonts w:ascii="Times New Roman" w:hAnsi="Times New Roman" w:cs="Times New Roman"/>
          <w:color w:val="000000" w:themeColor="text1"/>
          <w:sz w:val="24"/>
          <w:szCs w:val="24"/>
        </w:rPr>
        <w:t>公司无形资产减值主要分布在以下单位：</w:t>
      </w:r>
    </w:p>
    <w:p w:rsidR="00A35D1A" w:rsidRPr="00EA612D" w:rsidRDefault="00A35D1A" w:rsidP="000A32B1">
      <w:pPr>
        <w:adjustRightInd w:val="0"/>
        <w:snapToGrid w:val="0"/>
        <w:spacing w:line="400" w:lineRule="atLeast"/>
        <w:ind w:firstLineChars="200" w:firstLine="420"/>
        <w:jc w:val="right"/>
        <w:rPr>
          <w:rFonts w:ascii="Times New Roman" w:hAnsi="Times New Roman" w:cs="Times New Roman"/>
          <w:color w:val="000000" w:themeColor="text1"/>
          <w:szCs w:val="21"/>
        </w:rPr>
      </w:pPr>
      <w:r w:rsidRPr="00EA612D">
        <w:rPr>
          <w:rFonts w:ascii="Times New Roman" w:hAnsi="Times New Roman" w:cs="Times New Roman"/>
          <w:color w:val="000000" w:themeColor="text1"/>
          <w:szCs w:val="21"/>
        </w:rPr>
        <w:t>单位：人民币万元</w:t>
      </w:r>
    </w:p>
    <w:tbl>
      <w:tblPr>
        <w:tblW w:w="5000" w:type="pct"/>
        <w:tblBorders>
          <w:top w:val="single" w:sz="12" w:space="0" w:color="auto"/>
          <w:bottom w:val="single" w:sz="12" w:space="0" w:color="auto"/>
          <w:insideH w:val="dotted" w:sz="4" w:space="0" w:color="auto"/>
          <w:insideV w:val="dotted" w:sz="4" w:space="0" w:color="auto"/>
        </w:tblBorders>
        <w:tblLook w:val="04A0" w:firstRow="1" w:lastRow="0" w:firstColumn="1" w:lastColumn="0" w:noHBand="0" w:noVBand="1"/>
      </w:tblPr>
      <w:tblGrid>
        <w:gridCol w:w="5446"/>
        <w:gridCol w:w="3076"/>
      </w:tblGrid>
      <w:tr w:rsidR="00835FFC" w:rsidRPr="00EA612D" w:rsidTr="00A35D1A">
        <w:trPr>
          <w:trHeight w:val="283"/>
        </w:trPr>
        <w:tc>
          <w:tcPr>
            <w:tcW w:w="3195" w:type="pct"/>
            <w:shd w:val="clear" w:color="auto" w:fill="auto"/>
            <w:vAlign w:val="center"/>
            <w:hideMark/>
          </w:tcPr>
          <w:p w:rsidR="00A35D1A" w:rsidRPr="00EA612D" w:rsidRDefault="00A35D1A" w:rsidP="000A32B1">
            <w:pPr>
              <w:snapToGrid w:val="0"/>
              <w:spacing w:line="200" w:lineRule="atLeast"/>
              <w:ind w:leftChars="-20" w:left="-42"/>
              <w:jc w:val="center"/>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单位</w:t>
            </w:r>
          </w:p>
        </w:tc>
        <w:tc>
          <w:tcPr>
            <w:tcW w:w="1805" w:type="pct"/>
            <w:shd w:val="clear" w:color="auto" w:fill="auto"/>
            <w:hideMark/>
          </w:tcPr>
          <w:p w:rsidR="00A35D1A" w:rsidRPr="00EA612D" w:rsidRDefault="00A35D1A" w:rsidP="000A32B1">
            <w:pPr>
              <w:snapToGrid w:val="0"/>
              <w:spacing w:line="200" w:lineRule="atLeast"/>
              <w:ind w:leftChars="-20" w:left="-42"/>
              <w:jc w:val="center"/>
              <w:rPr>
                <w:rFonts w:ascii="Times New Roman" w:eastAsia="宋体" w:hAnsi="Times New Roman" w:cs="Times New Roman"/>
                <w:color w:val="000000" w:themeColor="text1"/>
                <w:sz w:val="16"/>
                <w:szCs w:val="16"/>
              </w:rPr>
            </w:pPr>
            <w:r w:rsidRPr="00EA612D">
              <w:rPr>
                <w:rFonts w:ascii="Times New Roman" w:hAnsi="Times New Roman" w:cs="Times New Roman"/>
                <w:color w:val="000000" w:themeColor="text1"/>
                <w:sz w:val="16"/>
                <w:szCs w:val="16"/>
              </w:rPr>
              <w:t>金额</w:t>
            </w:r>
          </w:p>
        </w:tc>
      </w:tr>
      <w:tr w:rsidR="00835FFC" w:rsidRPr="00EA612D" w:rsidTr="00A35D1A">
        <w:trPr>
          <w:trHeight w:val="283"/>
        </w:trPr>
        <w:tc>
          <w:tcPr>
            <w:tcW w:w="3195" w:type="pct"/>
            <w:shd w:val="clear" w:color="auto" w:fill="auto"/>
            <w:vAlign w:val="center"/>
            <w:hideMark/>
          </w:tcPr>
          <w:p w:rsidR="00A35D1A" w:rsidRPr="00EA612D" w:rsidRDefault="00A35D1A" w:rsidP="00A35D1A">
            <w:pPr>
              <w:snapToGrid w:val="0"/>
              <w:spacing w:line="200" w:lineRule="atLeast"/>
              <w:ind w:leftChars="-20" w:left="-42"/>
              <w:jc w:val="left"/>
              <w:rPr>
                <w:rFonts w:ascii="Times New Roman" w:eastAsia="宋体" w:hAnsi="Times New Roman" w:cs="Times New Roman"/>
                <w:color w:val="000000" w:themeColor="text1"/>
                <w:sz w:val="16"/>
                <w:szCs w:val="16"/>
              </w:rPr>
            </w:pPr>
            <w:proofErr w:type="gramStart"/>
            <w:r w:rsidRPr="00EA612D">
              <w:rPr>
                <w:rFonts w:ascii="Times New Roman" w:eastAsia="宋体" w:hAnsi="Times New Roman" w:cs="Times New Roman"/>
                <w:color w:val="000000" w:themeColor="text1"/>
                <w:sz w:val="16"/>
                <w:szCs w:val="16"/>
              </w:rPr>
              <w:t>联芯科技</w:t>
            </w:r>
            <w:proofErr w:type="gramEnd"/>
            <w:r w:rsidRPr="00EA612D">
              <w:rPr>
                <w:rFonts w:ascii="Times New Roman" w:eastAsia="宋体" w:hAnsi="Times New Roman" w:cs="Times New Roman"/>
                <w:color w:val="000000" w:themeColor="text1"/>
                <w:sz w:val="16"/>
                <w:szCs w:val="16"/>
              </w:rPr>
              <w:t>有限公司</w:t>
            </w:r>
          </w:p>
        </w:tc>
        <w:tc>
          <w:tcPr>
            <w:tcW w:w="1805" w:type="pct"/>
            <w:shd w:val="clear" w:color="auto" w:fill="auto"/>
            <w:vAlign w:val="center"/>
            <w:hideMark/>
          </w:tcPr>
          <w:p w:rsidR="00A35D1A" w:rsidRPr="00EA612D" w:rsidRDefault="00A35D1A" w:rsidP="00A35D1A">
            <w:pPr>
              <w:snapToGrid w:val="0"/>
              <w:spacing w:line="200" w:lineRule="atLeast"/>
              <w:ind w:leftChars="-20" w:left="-42"/>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7,502.74</w:t>
            </w:r>
          </w:p>
        </w:tc>
      </w:tr>
      <w:tr w:rsidR="00835FFC" w:rsidRPr="00EA612D" w:rsidTr="00A35D1A">
        <w:trPr>
          <w:trHeight w:val="283"/>
        </w:trPr>
        <w:tc>
          <w:tcPr>
            <w:tcW w:w="3195" w:type="pct"/>
            <w:shd w:val="clear" w:color="auto" w:fill="auto"/>
            <w:vAlign w:val="center"/>
          </w:tcPr>
          <w:p w:rsidR="00A35D1A" w:rsidRPr="00EA612D" w:rsidRDefault="00A35D1A" w:rsidP="00A35D1A">
            <w:pPr>
              <w:snapToGrid w:val="0"/>
              <w:spacing w:line="200" w:lineRule="atLeast"/>
              <w:ind w:leftChars="-20" w:left="-42"/>
              <w:jc w:val="lef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大唐电信科技股份有限公司（母公司）</w:t>
            </w:r>
          </w:p>
        </w:tc>
        <w:tc>
          <w:tcPr>
            <w:tcW w:w="1805" w:type="pct"/>
            <w:shd w:val="clear" w:color="auto" w:fill="auto"/>
            <w:vAlign w:val="center"/>
          </w:tcPr>
          <w:p w:rsidR="00A35D1A" w:rsidRPr="00EA612D" w:rsidRDefault="00A35D1A" w:rsidP="00A35D1A">
            <w:pPr>
              <w:snapToGrid w:val="0"/>
              <w:spacing w:line="200" w:lineRule="atLeast"/>
              <w:ind w:leftChars="-20" w:left="-42"/>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 xml:space="preserve">  2,195.24 </w:t>
            </w:r>
          </w:p>
        </w:tc>
      </w:tr>
      <w:tr w:rsidR="00835FFC" w:rsidRPr="00EA612D" w:rsidTr="00A35D1A">
        <w:trPr>
          <w:trHeight w:val="283"/>
        </w:trPr>
        <w:tc>
          <w:tcPr>
            <w:tcW w:w="3195" w:type="pct"/>
            <w:shd w:val="clear" w:color="auto" w:fill="auto"/>
            <w:vAlign w:val="center"/>
          </w:tcPr>
          <w:p w:rsidR="00A35D1A" w:rsidRPr="00EA612D" w:rsidRDefault="00A35D1A" w:rsidP="00A35D1A">
            <w:pPr>
              <w:snapToGrid w:val="0"/>
              <w:spacing w:line="200" w:lineRule="atLeast"/>
              <w:ind w:leftChars="-20" w:left="-42"/>
              <w:jc w:val="lef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西安大唐电信有限公司</w:t>
            </w:r>
          </w:p>
        </w:tc>
        <w:tc>
          <w:tcPr>
            <w:tcW w:w="1805" w:type="pct"/>
            <w:shd w:val="clear" w:color="auto" w:fill="auto"/>
            <w:vAlign w:val="center"/>
          </w:tcPr>
          <w:p w:rsidR="00A35D1A" w:rsidRPr="00EA612D" w:rsidRDefault="00A35D1A" w:rsidP="00A35D1A">
            <w:pPr>
              <w:jc w:val="right"/>
              <w:rPr>
                <w:rFonts w:ascii="Times New Roman" w:eastAsia="宋体" w:hAnsi="Times New Roman" w:cs="Times New Roman"/>
                <w:color w:val="000000" w:themeColor="text1"/>
                <w:sz w:val="16"/>
                <w:szCs w:val="16"/>
              </w:rPr>
            </w:pPr>
            <w:r w:rsidRPr="00EA612D">
              <w:rPr>
                <w:rFonts w:ascii="Times New Roman" w:hAnsi="Times New Roman" w:cs="Times New Roman"/>
                <w:color w:val="000000" w:themeColor="text1"/>
                <w:sz w:val="16"/>
                <w:szCs w:val="16"/>
              </w:rPr>
              <w:t xml:space="preserve">1,869.20 </w:t>
            </w:r>
          </w:p>
        </w:tc>
      </w:tr>
      <w:tr w:rsidR="00835FFC" w:rsidRPr="00EA612D" w:rsidTr="00A35D1A">
        <w:trPr>
          <w:trHeight w:val="283"/>
        </w:trPr>
        <w:tc>
          <w:tcPr>
            <w:tcW w:w="3195" w:type="pct"/>
            <w:shd w:val="clear" w:color="auto" w:fill="auto"/>
            <w:vAlign w:val="center"/>
          </w:tcPr>
          <w:p w:rsidR="00A35D1A" w:rsidRPr="00EA612D" w:rsidRDefault="00A35D1A" w:rsidP="00A35D1A">
            <w:pPr>
              <w:snapToGrid w:val="0"/>
              <w:spacing w:line="200" w:lineRule="atLeast"/>
              <w:ind w:leftChars="-20" w:left="-42"/>
              <w:jc w:val="lef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广州要玩娱乐网络技术有限公司</w:t>
            </w:r>
          </w:p>
        </w:tc>
        <w:tc>
          <w:tcPr>
            <w:tcW w:w="1805" w:type="pct"/>
            <w:shd w:val="clear" w:color="auto" w:fill="auto"/>
            <w:vAlign w:val="center"/>
          </w:tcPr>
          <w:p w:rsidR="00A35D1A" w:rsidRPr="00EA612D" w:rsidRDefault="00A35D1A" w:rsidP="00A35D1A">
            <w:pPr>
              <w:snapToGrid w:val="0"/>
              <w:spacing w:line="200" w:lineRule="atLeast"/>
              <w:ind w:leftChars="-20" w:left="-42"/>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 xml:space="preserve">         855.97 </w:t>
            </w:r>
          </w:p>
        </w:tc>
      </w:tr>
      <w:tr w:rsidR="00835FFC" w:rsidRPr="00EA612D" w:rsidTr="00A35D1A">
        <w:trPr>
          <w:trHeight w:val="283"/>
        </w:trPr>
        <w:tc>
          <w:tcPr>
            <w:tcW w:w="3195" w:type="pct"/>
            <w:shd w:val="clear" w:color="auto" w:fill="auto"/>
            <w:vAlign w:val="center"/>
          </w:tcPr>
          <w:p w:rsidR="00A35D1A" w:rsidRPr="00EA612D" w:rsidRDefault="00A35D1A" w:rsidP="00A35D1A">
            <w:pPr>
              <w:snapToGrid w:val="0"/>
              <w:spacing w:line="200" w:lineRule="atLeast"/>
              <w:ind w:leftChars="-20" w:left="-42"/>
              <w:jc w:val="lef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合计</w:t>
            </w:r>
          </w:p>
        </w:tc>
        <w:tc>
          <w:tcPr>
            <w:tcW w:w="1805" w:type="pct"/>
            <w:shd w:val="clear" w:color="auto" w:fill="auto"/>
            <w:vAlign w:val="center"/>
          </w:tcPr>
          <w:p w:rsidR="00A35D1A" w:rsidRPr="00EA612D" w:rsidRDefault="00A35D1A" w:rsidP="00A35D1A">
            <w:pPr>
              <w:snapToGrid w:val="0"/>
              <w:spacing w:line="200" w:lineRule="atLeast"/>
              <w:ind w:leftChars="-20" w:left="-42"/>
              <w:jc w:val="right"/>
              <w:rPr>
                <w:rFonts w:ascii="Times New Roman" w:eastAsia="宋体" w:hAnsi="Times New Roman" w:cs="Times New Roman"/>
                <w:color w:val="000000" w:themeColor="text1"/>
                <w:sz w:val="16"/>
                <w:szCs w:val="16"/>
              </w:rPr>
            </w:pPr>
            <w:r w:rsidRPr="00EA612D">
              <w:rPr>
                <w:rFonts w:ascii="Times New Roman" w:eastAsia="宋体" w:hAnsi="Times New Roman" w:cs="Times New Roman"/>
                <w:color w:val="000000" w:themeColor="text1"/>
                <w:sz w:val="16"/>
                <w:szCs w:val="16"/>
              </w:rPr>
              <w:t>12,423.15</w:t>
            </w:r>
          </w:p>
        </w:tc>
      </w:tr>
    </w:tbl>
    <w:p w:rsidR="00A35D1A" w:rsidRPr="00EA612D" w:rsidRDefault="00F530DF" w:rsidP="00F663C7">
      <w:pPr>
        <w:spacing w:beforeLines="50" w:before="156" w:afterLines="50" w:after="156" w:line="360" w:lineRule="auto"/>
        <w:ind w:leftChars="50" w:left="105" w:rightChars="50" w:right="105" w:firstLineChars="200" w:firstLine="480"/>
        <w:jc w:val="left"/>
        <w:rPr>
          <w:rStyle w:val="a5"/>
          <w:rFonts w:asciiTheme="minorEastAsia" w:hAnsiTheme="minorEastAsia" w:cs="Times New Roman"/>
          <w:b w:val="0"/>
          <w:color w:val="000000" w:themeColor="text1"/>
          <w:sz w:val="24"/>
          <w:szCs w:val="24"/>
        </w:rPr>
      </w:pPr>
      <w:r w:rsidRPr="00EA612D">
        <w:rPr>
          <w:rStyle w:val="a5"/>
          <w:rFonts w:asciiTheme="minorEastAsia" w:hAnsiTheme="minorEastAsia" w:cs="Times New Roman" w:hint="eastAsia"/>
          <w:b w:val="0"/>
          <w:color w:val="000000" w:themeColor="text1"/>
          <w:sz w:val="24"/>
          <w:szCs w:val="24"/>
        </w:rPr>
        <w:t>（2）</w:t>
      </w:r>
      <w:r w:rsidR="00A35D1A" w:rsidRPr="00EA612D">
        <w:rPr>
          <w:rStyle w:val="a5"/>
          <w:rFonts w:asciiTheme="minorEastAsia" w:hAnsiTheme="minorEastAsia" w:cs="Times New Roman"/>
          <w:b w:val="0"/>
          <w:color w:val="000000" w:themeColor="text1"/>
          <w:sz w:val="24"/>
          <w:szCs w:val="24"/>
        </w:rPr>
        <w:t>无形资产减值的原因、依据及合理性</w:t>
      </w:r>
    </w:p>
    <w:p w:rsidR="00A35D1A" w:rsidRPr="00EA612D" w:rsidRDefault="000A32B1" w:rsidP="00F663C7">
      <w:pPr>
        <w:spacing w:beforeLines="50" w:before="156" w:afterLines="50" w:after="156" w:line="360" w:lineRule="auto"/>
        <w:ind w:leftChars="50" w:left="105" w:rightChars="50" w:right="105" w:firstLineChars="200" w:firstLine="480"/>
        <w:jc w:val="left"/>
        <w:rPr>
          <w:rFonts w:asciiTheme="minorEastAsia" w:hAnsiTheme="minorEastAsia" w:cs="Times New Roman"/>
          <w:color w:val="000000" w:themeColor="text1"/>
          <w:sz w:val="24"/>
          <w:szCs w:val="24"/>
        </w:rPr>
      </w:pPr>
      <w:r w:rsidRPr="00EA612D">
        <w:rPr>
          <w:rStyle w:val="a5"/>
          <w:rFonts w:asciiTheme="minorEastAsia" w:hAnsiTheme="minorEastAsia" w:cs="宋体" w:hint="eastAsia"/>
          <w:b w:val="0"/>
          <w:color w:val="000000" w:themeColor="text1"/>
          <w:sz w:val="24"/>
          <w:szCs w:val="24"/>
        </w:rPr>
        <w:t>①</w:t>
      </w:r>
      <w:r w:rsidR="00A35D1A" w:rsidRPr="00EA612D">
        <w:rPr>
          <w:rFonts w:asciiTheme="minorEastAsia" w:hAnsiTheme="minorEastAsia" w:cs="Times New Roman"/>
          <w:color w:val="000000" w:themeColor="text1"/>
          <w:sz w:val="24"/>
          <w:szCs w:val="24"/>
        </w:rPr>
        <w:t>集成电路企业谋求转型影响</w:t>
      </w:r>
    </w:p>
    <w:p w:rsidR="00A35D1A" w:rsidRPr="00EA612D" w:rsidRDefault="00A35D1A" w:rsidP="00F663C7">
      <w:pPr>
        <w:pStyle w:val="Default"/>
        <w:spacing w:beforeLines="50" w:before="156" w:afterLines="50" w:after="156" w:line="360" w:lineRule="auto"/>
        <w:ind w:leftChars="50" w:left="105" w:rightChars="50" w:right="105" w:firstLineChars="200" w:firstLine="480"/>
        <w:rPr>
          <w:rFonts w:asciiTheme="minorEastAsia" w:hAnsiTheme="minorEastAsia" w:cs="Times New Roman"/>
          <w:color w:val="000000" w:themeColor="text1"/>
        </w:rPr>
      </w:pPr>
      <w:r w:rsidRPr="00EA612D">
        <w:rPr>
          <w:rFonts w:asciiTheme="minorEastAsia" w:hAnsiTheme="minorEastAsia" w:cs="Times New Roman"/>
          <w:color w:val="000000" w:themeColor="text1"/>
        </w:rPr>
        <w:t>2016年以来，集成电路产业整合加剧，</w:t>
      </w:r>
      <w:r w:rsidR="007A27C8" w:rsidRPr="00EA612D">
        <w:rPr>
          <w:rFonts w:asciiTheme="minorEastAsia" w:hAnsiTheme="minorEastAsia" w:cs="Times New Roman"/>
          <w:color w:val="000000" w:themeColor="text1"/>
        </w:rPr>
        <w:t>产业并购</w:t>
      </w:r>
      <w:r w:rsidR="007A27C8" w:rsidRPr="00EA612D">
        <w:rPr>
          <w:rFonts w:asciiTheme="minorEastAsia" w:hAnsiTheme="minorEastAsia" w:cs="Times New Roman" w:hint="eastAsia"/>
          <w:color w:val="000000" w:themeColor="text1"/>
        </w:rPr>
        <w:t>频发</w:t>
      </w:r>
      <w:r w:rsidR="007A27C8" w:rsidRPr="00EA612D">
        <w:rPr>
          <w:rFonts w:asciiTheme="minorEastAsia" w:hAnsiTheme="minorEastAsia" w:cs="Times New Roman"/>
          <w:color w:val="000000" w:themeColor="text1"/>
        </w:rPr>
        <w:t>，资本运作活跃，产业集中度进一步提高</w:t>
      </w:r>
      <w:r w:rsidR="007A27C8" w:rsidRPr="00EA612D">
        <w:rPr>
          <w:rFonts w:asciiTheme="minorEastAsia" w:hAnsiTheme="minorEastAsia" w:cs="Times New Roman" w:hint="eastAsia"/>
          <w:color w:val="000000" w:themeColor="text1"/>
        </w:rPr>
        <w:t>，</w:t>
      </w:r>
      <w:r w:rsidRPr="00EA612D">
        <w:rPr>
          <w:rFonts w:asciiTheme="minorEastAsia" w:hAnsiTheme="minorEastAsia" w:cs="Times New Roman"/>
          <w:color w:val="000000" w:themeColor="text1"/>
        </w:rPr>
        <w:t>全球芯片企业纷纷谋求转型发展。</w:t>
      </w:r>
      <w:r w:rsidR="007A27C8" w:rsidRPr="00EA612D">
        <w:rPr>
          <w:rFonts w:asciiTheme="minorEastAsia" w:hAnsiTheme="minorEastAsia" w:cs="Times New Roman" w:hint="eastAsia"/>
          <w:color w:val="000000" w:themeColor="text1"/>
        </w:rPr>
        <w:t>在手机芯片领域，随着芯片工艺向16nm、10nm演进，单颗芯片的研发投入巨大，使得面向公网消费</w:t>
      </w:r>
      <w:r w:rsidR="007A27C8" w:rsidRPr="00EA612D">
        <w:rPr>
          <w:rFonts w:asciiTheme="minorEastAsia" w:hAnsiTheme="minorEastAsia" w:cs="Times New Roman" w:hint="eastAsia"/>
          <w:color w:val="000000" w:themeColor="text1"/>
        </w:rPr>
        <w:lastRenderedPageBreak/>
        <w:t>市场的手机芯片研发存在较高的风险，同时，</w:t>
      </w:r>
      <w:r w:rsidR="007A27C8" w:rsidRPr="00EA612D">
        <w:rPr>
          <w:rFonts w:asciiTheme="minorEastAsia" w:hAnsiTheme="minorEastAsia" w:cs="Times New Roman"/>
          <w:color w:val="000000" w:themeColor="text1"/>
        </w:rPr>
        <w:t>高通、</w:t>
      </w:r>
      <w:proofErr w:type="gramStart"/>
      <w:r w:rsidR="007A27C8" w:rsidRPr="00EA612D">
        <w:rPr>
          <w:rFonts w:asciiTheme="minorEastAsia" w:hAnsiTheme="minorEastAsia" w:cs="Times New Roman"/>
          <w:color w:val="000000" w:themeColor="text1"/>
        </w:rPr>
        <w:t>联发科</w:t>
      </w:r>
      <w:r w:rsidR="007A27C8" w:rsidRPr="00EA612D">
        <w:rPr>
          <w:rFonts w:asciiTheme="minorEastAsia" w:hAnsiTheme="minorEastAsia" w:cs="Times New Roman" w:hint="eastAsia"/>
          <w:color w:val="000000" w:themeColor="text1"/>
        </w:rPr>
        <w:t>等</w:t>
      </w:r>
      <w:proofErr w:type="gramEnd"/>
      <w:r w:rsidR="007A27C8" w:rsidRPr="00EA612D">
        <w:rPr>
          <w:rFonts w:asciiTheme="minorEastAsia" w:hAnsiTheme="minorEastAsia" w:cs="Times New Roman" w:hint="eastAsia"/>
          <w:color w:val="000000" w:themeColor="text1"/>
        </w:rPr>
        <w:t>企业在该领域竞争优势明显。</w:t>
      </w:r>
      <w:r w:rsidRPr="00EA612D">
        <w:rPr>
          <w:rFonts w:asciiTheme="minorEastAsia" w:hAnsiTheme="minorEastAsia" w:cs="Times New Roman"/>
          <w:color w:val="000000" w:themeColor="text1"/>
        </w:rPr>
        <w:t>公司之子公司</w:t>
      </w:r>
      <w:proofErr w:type="gramStart"/>
      <w:r w:rsidRPr="00EA612D">
        <w:rPr>
          <w:rFonts w:asciiTheme="minorEastAsia" w:hAnsiTheme="minorEastAsia" w:cs="Times New Roman"/>
          <w:color w:val="000000" w:themeColor="text1"/>
        </w:rPr>
        <w:t>联芯科技</w:t>
      </w:r>
      <w:proofErr w:type="gramEnd"/>
      <w:r w:rsidRPr="00EA612D">
        <w:rPr>
          <w:rFonts w:asciiTheme="minorEastAsia" w:hAnsiTheme="minorEastAsia" w:cs="Times New Roman"/>
          <w:color w:val="000000" w:themeColor="text1"/>
        </w:rPr>
        <w:t>有限公司2016年度谋求从消费类</w:t>
      </w:r>
      <w:r w:rsidR="00327CC6" w:rsidRPr="00EA612D">
        <w:rPr>
          <w:rFonts w:asciiTheme="minorEastAsia" w:hAnsiTheme="minorEastAsia" w:cs="Times New Roman" w:hint="eastAsia"/>
          <w:color w:val="000000" w:themeColor="text1"/>
        </w:rPr>
        <w:t>手机</w:t>
      </w:r>
      <w:r w:rsidRPr="00EA612D">
        <w:rPr>
          <w:rFonts w:asciiTheme="minorEastAsia" w:hAnsiTheme="minorEastAsia" w:cs="Times New Roman"/>
          <w:color w:val="000000" w:themeColor="text1"/>
        </w:rPr>
        <w:t>终端芯片市场转向行业类芯片市场。由于市场、技术的差异，在转型过程中核心技术也在转化，复用程度有限。新业务领域更注重定制化设计技术，需紧密结合行业特点，原有技术与专利在行业市场所能体现的价值较为有限，预期为公司带来经济利益下滑。</w:t>
      </w:r>
      <w:proofErr w:type="gramStart"/>
      <w:r w:rsidRPr="00EA612D">
        <w:rPr>
          <w:rFonts w:asciiTheme="minorEastAsia" w:hAnsiTheme="minorEastAsia" w:cs="Times New Roman"/>
          <w:color w:val="000000" w:themeColor="text1"/>
        </w:rPr>
        <w:t>联芯科技</w:t>
      </w:r>
      <w:proofErr w:type="gramEnd"/>
      <w:r w:rsidRPr="00EA612D">
        <w:rPr>
          <w:rFonts w:asciiTheme="minorEastAsia" w:hAnsiTheme="minorEastAsia" w:cs="Times New Roman"/>
          <w:color w:val="000000" w:themeColor="text1"/>
        </w:rPr>
        <w:t>有限公司自</w:t>
      </w:r>
      <w:proofErr w:type="gramStart"/>
      <w:r w:rsidRPr="00EA612D">
        <w:rPr>
          <w:rFonts w:asciiTheme="minorEastAsia" w:hAnsiTheme="minorEastAsia" w:cs="Times New Roman"/>
          <w:color w:val="000000" w:themeColor="text1"/>
        </w:rPr>
        <w:t>研</w:t>
      </w:r>
      <w:proofErr w:type="gramEnd"/>
      <w:r w:rsidRPr="00EA612D">
        <w:rPr>
          <w:rFonts w:asciiTheme="minorEastAsia" w:hAnsiTheme="minorEastAsia" w:cs="Times New Roman"/>
          <w:color w:val="000000" w:themeColor="text1"/>
        </w:rPr>
        <w:t>形成的无形资产TD-SCDMA相关技术以及40nm平板电脑芯片技术和解决方案、LTE四</w:t>
      </w:r>
      <w:proofErr w:type="gramStart"/>
      <w:r w:rsidRPr="00EA612D">
        <w:rPr>
          <w:rFonts w:asciiTheme="minorEastAsia" w:hAnsiTheme="minorEastAsia" w:cs="Times New Roman"/>
          <w:color w:val="000000" w:themeColor="text1"/>
        </w:rPr>
        <w:t>模数据类</w:t>
      </w:r>
      <w:proofErr w:type="gramEnd"/>
      <w:r w:rsidRPr="00EA612D">
        <w:rPr>
          <w:rFonts w:asciiTheme="minorEastAsia" w:hAnsiTheme="minorEastAsia" w:cs="Times New Roman"/>
          <w:color w:val="000000" w:themeColor="text1"/>
        </w:rPr>
        <w:t>终端芯片及解决方案，一方面从技术和产品方案上已不满足新的市场需求</w:t>
      </w:r>
      <w:r w:rsidR="00327CC6" w:rsidRPr="00EA612D">
        <w:rPr>
          <w:rFonts w:asciiTheme="minorEastAsia" w:hAnsiTheme="minorEastAsia" w:cs="Times New Roman" w:hint="eastAsia"/>
          <w:color w:val="000000" w:themeColor="text1"/>
        </w:rPr>
        <w:t>，</w:t>
      </w:r>
      <w:r w:rsidRPr="00EA612D">
        <w:rPr>
          <w:rFonts w:asciiTheme="minorEastAsia" w:hAnsiTheme="minorEastAsia" w:cs="Times New Roman"/>
          <w:color w:val="000000" w:themeColor="text1"/>
        </w:rPr>
        <w:t>未来单独预计收益有限；另一方面因公司因业务转型，未来将大幅压缩该类业务投入，相关技术很难跟上市场需求。</w:t>
      </w:r>
    </w:p>
    <w:p w:rsidR="00A35D1A" w:rsidRPr="00EA612D" w:rsidRDefault="00A35D1A" w:rsidP="00F663C7">
      <w:pPr>
        <w:pStyle w:val="Default"/>
        <w:spacing w:beforeLines="50" w:before="156" w:afterLines="50" w:after="156" w:line="360" w:lineRule="auto"/>
        <w:ind w:leftChars="50" w:left="105" w:rightChars="50" w:right="105" w:firstLineChars="200" w:firstLine="480"/>
        <w:rPr>
          <w:rFonts w:asciiTheme="minorEastAsia" w:hAnsiTheme="minorEastAsia" w:cs="Times New Roman"/>
          <w:color w:val="000000" w:themeColor="text1"/>
        </w:rPr>
      </w:pPr>
      <w:r w:rsidRPr="00EA612D">
        <w:rPr>
          <w:rFonts w:asciiTheme="minorEastAsia" w:hAnsiTheme="minorEastAsia" w:cs="Times New Roman"/>
          <w:color w:val="000000" w:themeColor="text1"/>
        </w:rPr>
        <w:t>虽然相关技术在2015年度为</w:t>
      </w:r>
      <w:proofErr w:type="gramStart"/>
      <w:r w:rsidRPr="00EA612D">
        <w:rPr>
          <w:rFonts w:asciiTheme="minorEastAsia" w:hAnsiTheme="minorEastAsia" w:cs="Times New Roman"/>
          <w:color w:val="000000" w:themeColor="text1"/>
        </w:rPr>
        <w:t>联芯科技</w:t>
      </w:r>
      <w:proofErr w:type="gramEnd"/>
      <w:r w:rsidRPr="00EA612D">
        <w:rPr>
          <w:rFonts w:asciiTheme="minorEastAsia" w:hAnsiTheme="minorEastAsia" w:cs="Times New Roman"/>
          <w:color w:val="000000" w:themeColor="text1"/>
        </w:rPr>
        <w:t>有限公司带来收入2,073.46万元、毛利700.89万元，但在总体市场坏境的变动下2016年仅为</w:t>
      </w:r>
      <w:proofErr w:type="gramStart"/>
      <w:r w:rsidRPr="00EA612D">
        <w:rPr>
          <w:rFonts w:asciiTheme="minorEastAsia" w:hAnsiTheme="minorEastAsia" w:cs="Times New Roman"/>
          <w:color w:val="000000" w:themeColor="text1"/>
        </w:rPr>
        <w:t>联芯科技</w:t>
      </w:r>
      <w:proofErr w:type="gramEnd"/>
      <w:r w:rsidRPr="00EA612D">
        <w:rPr>
          <w:rFonts w:asciiTheme="minorEastAsia" w:hAnsiTheme="minorEastAsia" w:cs="Times New Roman"/>
          <w:color w:val="000000" w:themeColor="text1"/>
        </w:rPr>
        <w:t>有限公司带来收入81.89万元、毛利-801.12万元。其无形资产存在减值迹象明显，公司根据专家评审和评估报告，对上述无形资产计提减值准备7,502.74万元。</w:t>
      </w:r>
    </w:p>
    <w:p w:rsidR="00A35D1A" w:rsidRPr="00EA612D" w:rsidRDefault="000A32B1" w:rsidP="00F663C7">
      <w:pPr>
        <w:spacing w:beforeLines="50" w:before="156" w:afterLines="50" w:after="156" w:line="360" w:lineRule="auto"/>
        <w:ind w:leftChars="50" w:left="105" w:rightChars="50" w:right="105" w:firstLineChars="200" w:firstLine="480"/>
        <w:jc w:val="left"/>
        <w:rPr>
          <w:rFonts w:asciiTheme="minorEastAsia" w:hAnsiTheme="minorEastAsia" w:cs="Times New Roman"/>
          <w:color w:val="000000" w:themeColor="text1"/>
          <w:sz w:val="24"/>
          <w:szCs w:val="24"/>
        </w:rPr>
      </w:pPr>
      <w:r w:rsidRPr="00EA612D">
        <w:rPr>
          <w:rFonts w:asciiTheme="minorEastAsia" w:hAnsiTheme="minorEastAsia" w:cs="宋体" w:hint="eastAsia"/>
          <w:color w:val="000000" w:themeColor="text1"/>
          <w:sz w:val="24"/>
          <w:szCs w:val="24"/>
        </w:rPr>
        <w:t>②</w:t>
      </w:r>
      <w:r w:rsidR="00A35D1A" w:rsidRPr="00EA612D">
        <w:rPr>
          <w:rFonts w:asciiTheme="minorEastAsia" w:hAnsiTheme="minorEastAsia" w:cs="Times New Roman"/>
          <w:color w:val="000000" w:themeColor="text1"/>
          <w:sz w:val="24"/>
          <w:szCs w:val="24"/>
        </w:rPr>
        <w:t>技术更新换代影响</w:t>
      </w:r>
    </w:p>
    <w:p w:rsidR="00220D12" w:rsidRPr="00EA612D" w:rsidRDefault="00220D12" w:rsidP="00500E5D">
      <w:pPr>
        <w:pStyle w:val="a6"/>
        <w:numPr>
          <w:ilvl w:val="0"/>
          <w:numId w:val="22"/>
        </w:numPr>
        <w:tabs>
          <w:tab w:val="left" w:pos="567"/>
          <w:tab w:val="left" w:pos="602"/>
        </w:tabs>
        <w:spacing w:beforeLines="50" w:before="156" w:afterLines="50" w:after="156" w:line="360" w:lineRule="auto"/>
        <w:ind w:leftChars="50" w:left="105" w:rightChars="50" w:right="105" w:firstLineChars="0" w:firstLine="567"/>
        <w:jc w:val="left"/>
        <w:rPr>
          <w:rFonts w:asciiTheme="minorEastAsia" w:hAnsiTheme="minorEastAsia" w:cs="Times New Roman"/>
          <w:color w:val="000000" w:themeColor="text1"/>
          <w:sz w:val="24"/>
          <w:szCs w:val="24"/>
        </w:rPr>
      </w:pPr>
      <w:r w:rsidRPr="00EA612D">
        <w:rPr>
          <w:rFonts w:asciiTheme="minorEastAsia" w:hAnsiTheme="minorEastAsia" w:cs="Times New Roman" w:hint="eastAsia"/>
          <w:color w:val="000000" w:themeColor="text1"/>
          <w:sz w:val="24"/>
          <w:szCs w:val="24"/>
        </w:rPr>
        <w:t>随着公司在城市服务管理与物联网应用平台技术和架构的不断演进，研发架构更加合理，技术更加先进的城市服务管理与物联网应用支撑软件平台V4.0已经成功应用，因此原有的</w:t>
      </w:r>
      <w:r w:rsidR="008B5BF9" w:rsidRPr="00EA612D">
        <w:rPr>
          <w:rFonts w:asciiTheme="minorEastAsia" w:hAnsiTheme="minorEastAsia" w:cs="Times New Roman" w:hint="eastAsia"/>
          <w:color w:val="000000" w:themeColor="text1"/>
          <w:sz w:val="24"/>
          <w:szCs w:val="24"/>
        </w:rPr>
        <w:t>城市服务管理与物联网应用支撑软件平台V1.0和V2.0</w:t>
      </w:r>
      <w:r w:rsidRPr="00EA612D">
        <w:rPr>
          <w:rFonts w:asciiTheme="minorEastAsia" w:hAnsiTheme="minorEastAsia" w:cs="Times New Roman" w:hint="eastAsia"/>
          <w:color w:val="000000" w:themeColor="text1"/>
          <w:sz w:val="24"/>
          <w:szCs w:val="24"/>
        </w:rPr>
        <w:t>在技术上已经被替代，存在一定的减值风险。</w:t>
      </w:r>
    </w:p>
    <w:p w:rsidR="00220D12" w:rsidRPr="00EA612D" w:rsidRDefault="00220D12" w:rsidP="005C5DAF">
      <w:pPr>
        <w:pStyle w:val="a6"/>
        <w:numPr>
          <w:ilvl w:val="0"/>
          <w:numId w:val="22"/>
        </w:numPr>
        <w:tabs>
          <w:tab w:val="left" w:pos="504"/>
          <w:tab w:val="left" w:pos="709"/>
        </w:tabs>
        <w:spacing w:beforeLines="50" w:before="156" w:afterLines="50" w:after="156" w:line="360" w:lineRule="auto"/>
        <w:ind w:leftChars="50" w:left="105" w:rightChars="50" w:right="105" w:firstLineChars="0" w:firstLine="651"/>
        <w:jc w:val="left"/>
        <w:rPr>
          <w:rFonts w:asciiTheme="minorEastAsia" w:hAnsiTheme="minorEastAsia" w:cs="Times New Roman"/>
          <w:color w:val="000000" w:themeColor="text1"/>
          <w:sz w:val="24"/>
          <w:szCs w:val="24"/>
        </w:rPr>
      </w:pPr>
      <w:r w:rsidRPr="00EA612D">
        <w:rPr>
          <w:rFonts w:asciiTheme="minorEastAsia" w:hAnsiTheme="minorEastAsia" w:cs="Times New Roman" w:hint="eastAsia"/>
          <w:color w:val="000000" w:themeColor="text1"/>
          <w:sz w:val="24"/>
          <w:szCs w:val="24"/>
        </w:rPr>
        <w:t>随着无线通信、智能终端和流媒体、网络技术、音频算法</w:t>
      </w:r>
      <w:r w:rsidR="008B5BF9" w:rsidRPr="00EA612D">
        <w:rPr>
          <w:rFonts w:asciiTheme="minorEastAsia" w:hAnsiTheme="minorEastAsia" w:cs="Times New Roman" w:hint="eastAsia"/>
          <w:color w:val="000000" w:themeColor="text1"/>
          <w:sz w:val="24"/>
          <w:szCs w:val="24"/>
        </w:rPr>
        <w:t>的不断演进和发展，</w:t>
      </w:r>
      <w:r w:rsidRPr="00EA612D">
        <w:rPr>
          <w:rFonts w:asciiTheme="minorEastAsia" w:hAnsiTheme="minorEastAsia" w:cs="Times New Roman" w:hint="eastAsia"/>
          <w:color w:val="000000" w:themeColor="text1"/>
          <w:sz w:val="24"/>
          <w:szCs w:val="24"/>
        </w:rPr>
        <w:t>流媒体组件技术</w:t>
      </w:r>
      <w:r w:rsidR="008B5BF9" w:rsidRPr="00EA612D">
        <w:rPr>
          <w:rFonts w:asciiTheme="minorEastAsia" w:hAnsiTheme="minorEastAsia" w:cs="Times New Roman" w:hint="eastAsia"/>
          <w:color w:val="000000" w:themeColor="text1"/>
          <w:sz w:val="24"/>
          <w:szCs w:val="24"/>
        </w:rPr>
        <w:t>、视频移动通信组件、高级音频算法组件</w:t>
      </w:r>
      <w:r w:rsidRPr="00EA612D">
        <w:rPr>
          <w:rFonts w:asciiTheme="minorEastAsia" w:hAnsiTheme="minorEastAsia" w:cs="Times New Roman" w:hint="eastAsia"/>
          <w:color w:val="000000" w:themeColor="text1"/>
          <w:sz w:val="24"/>
          <w:szCs w:val="24"/>
        </w:rPr>
        <w:t>在支持的网络、移动终端制式和内容服务策略、视频通信算法等方面已经落后，被支持更加先进的4G无线网络、多模终端和先进的服务质量策略、</w:t>
      </w:r>
      <w:r w:rsidR="008B5BF9" w:rsidRPr="00EA612D">
        <w:rPr>
          <w:rFonts w:asciiTheme="minorEastAsia" w:hAnsiTheme="minorEastAsia" w:cs="Times New Roman" w:hint="eastAsia"/>
          <w:color w:val="000000" w:themeColor="text1"/>
          <w:sz w:val="24"/>
          <w:szCs w:val="24"/>
        </w:rPr>
        <w:t>更先进的</w:t>
      </w:r>
      <w:r w:rsidRPr="00EA612D">
        <w:rPr>
          <w:rFonts w:asciiTheme="minorEastAsia" w:hAnsiTheme="minorEastAsia" w:cs="Times New Roman" w:hint="eastAsia"/>
          <w:color w:val="000000" w:themeColor="text1"/>
          <w:sz w:val="24"/>
          <w:szCs w:val="24"/>
        </w:rPr>
        <w:t>视频移动通信技术</w:t>
      </w:r>
      <w:r w:rsidR="008B5BF9" w:rsidRPr="00EA612D">
        <w:rPr>
          <w:rFonts w:asciiTheme="minorEastAsia" w:hAnsiTheme="minorEastAsia" w:cs="Times New Roman" w:hint="eastAsia"/>
          <w:color w:val="000000" w:themeColor="text1"/>
          <w:sz w:val="24"/>
          <w:szCs w:val="24"/>
        </w:rPr>
        <w:t>及</w:t>
      </w:r>
      <w:r w:rsidRPr="00EA612D">
        <w:rPr>
          <w:rFonts w:asciiTheme="minorEastAsia" w:hAnsiTheme="minorEastAsia" w:cs="Times New Roman" w:hint="eastAsia"/>
          <w:color w:val="000000" w:themeColor="text1"/>
          <w:sz w:val="24"/>
          <w:szCs w:val="24"/>
        </w:rPr>
        <w:t>音频算法组件所替代，</w:t>
      </w:r>
      <w:r w:rsidR="008B5BF9" w:rsidRPr="00EA612D">
        <w:rPr>
          <w:rFonts w:asciiTheme="minorEastAsia" w:hAnsiTheme="minorEastAsia" w:cs="Times New Roman" w:hint="eastAsia"/>
          <w:color w:val="000000" w:themeColor="text1"/>
          <w:sz w:val="24"/>
          <w:szCs w:val="24"/>
        </w:rPr>
        <w:t>原流媒体组件技术、视频移动通信组件、高级音频算法组件</w:t>
      </w:r>
      <w:r w:rsidRPr="00EA612D">
        <w:rPr>
          <w:rFonts w:asciiTheme="minorEastAsia" w:hAnsiTheme="minorEastAsia" w:cs="Times New Roman" w:hint="eastAsia"/>
          <w:color w:val="000000" w:themeColor="text1"/>
          <w:sz w:val="24"/>
          <w:szCs w:val="24"/>
        </w:rPr>
        <w:t>存在一定的减值风险。</w:t>
      </w:r>
    </w:p>
    <w:p w:rsidR="008B5BF9" w:rsidRPr="00EA612D" w:rsidRDefault="00B04624" w:rsidP="005C5DAF">
      <w:pPr>
        <w:pStyle w:val="a6"/>
        <w:numPr>
          <w:ilvl w:val="0"/>
          <w:numId w:val="22"/>
        </w:numPr>
        <w:tabs>
          <w:tab w:val="left" w:pos="567"/>
          <w:tab w:val="left" w:pos="709"/>
          <w:tab w:val="left" w:pos="854"/>
          <w:tab w:val="left" w:pos="1008"/>
          <w:tab w:val="left" w:pos="1036"/>
        </w:tabs>
        <w:spacing w:beforeLines="50" w:before="156" w:afterLines="50" w:after="156" w:line="360" w:lineRule="auto"/>
        <w:ind w:leftChars="50" w:left="105" w:rightChars="50" w:right="105" w:firstLineChars="0" w:firstLine="805"/>
        <w:jc w:val="left"/>
        <w:rPr>
          <w:rFonts w:asciiTheme="minorEastAsia" w:hAnsiTheme="minorEastAsia" w:cs="Times New Roman"/>
          <w:color w:val="000000" w:themeColor="text1"/>
          <w:sz w:val="24"/>
          <w:szCs w:val="24"/>
        </w:rPr>
      </w:pPr>
      <w:r w:rsidRPr="00EA612D">
        <w:rPr>
          <w:rFonts w:asciiTheme="minorEastAsia" w:hAnsiTheme="minorEastAsia" w:cs="Times New Roman" w:hint="eastAsia"/>
          <w:color w:val="000000" w:themeColor="text1"/>
          <w:sz w:val="24"/>
          <w:szCs w:val="24"/>
        </w:rPr>
        <w:t>随着运营</w:t>
      </w:r>
      <w:proofErr w:type="gramStart"/>
      <w:r w:rsidRPr="00EA612D">
        <w:rPr>
          <w:rFonts w:asciiTheme="minorEastAsia" w:hAnsiTheme="minorEastAsia" w:cs="Times New Roman" w:hint="eastAsia"/>
          <w:color w:val="000000" w:themeColor="text1"/>
          <w:sz w:val="24"/>
          <w:szCs w:val="24"/>
        </w:rPr>
        <w:t>商需求</w:t>
      </w:r>
      <w:proofErr w:type="gramEnd"/>
      <w:r w:rsidRPr="00EA612D">
        <w:rPr>
          <w:rFonts w:asciiTheme="minorEastAsia" w:hAnsiTheme="minorEastAsia" w:cs="Times New Roman" w:hint="eastAsia"/>
          <w:color w:val="000000" w:themeColor="text1"/>
          <w:sz w:val="24"/>
          <w:szCs w:val="24"/>
        </w:rPr>
        <w:t>变化，对</w:t>
      </w:r>
      <w:r w:rsidRPr="00EA612D">
        <w:rPr>
          <w:rFonts w:asciiTheme="minorEastAsia" w:hAnsiTheme="minorEastAsia" w:cs="Times New Roman"/>
          <w:color w:val="000000" w:themeColor="text1"/>
          <w:sz w:val="24"/>
          <w:szCs w:val="24"/>
        </w:rPr>
        <w:t>WLAN</w:t>
      </w:r>
      <w:r w:rsidRPr="00EA612D">
        <w:rPr>
          <w:rFonts w:asciiTheme="minorEastAsia" w:hAnsiTheme="minorEastAsia" w:cs="Times New Roman" w:hint="eastAsia"/>
          <w:color w:val="000000" w:themeColor="text1"/>
          <w:sz w:val="24"/>
          <w:szCs w:val="24"/>
        </w:rPr>
        <w:t>技术规范的大幅度调整，尤其是运营商为大力发展</w:t>
      </w:r>
      <w:r w:rsidRPr="00EA612D">
        <w:rPr>
          <w:rFonts w:asciiTheme="minorEastAsia" w:hAnsiTheme="minorEastAsia" w:cs="Times New Roman"/>
          <w:color w:val="000000" w:themeColor="text1"/>
          <w:sz w:val="24"/>
          <w:szCs w:val="24"/>
        </w:rPr>
        <w:t>4G</w:t>
      </w:r>
      <w:r w:rsidRPr="00EA612D">
        <w:rPr>
          <w:rFonts w:asciiTheme="minorEastAsia" w:hAnsiTheme="minorEastAsia" w:cs="Times New Roman" w:hint="eastAsia"/>
          <w:color w:val="000000" w:themeColor="text1"/>
          <w:sz w:val="24"/>
          <w:szCs w:val="24"/>
        </w:rPr>
        <w:t>业务，</w:t>
      </w:r>
      <w:r w:rsidRPr="00EA612D">
        <w:rPr>
          <w:rFonts w:asciiTheme="minorEastAsia" w:hAnsiTheme="minorEastAsia" w:cs="Times New Roman"/>
          <w:color w:val="000000" w:themeColor="text1"/>
          <w:sz w:val="24"/>
          <w:szCs w:val="24"/>
        </w:rPr>
        <w:t>2016</w:t>
      </w:r>
      <w:r w:rsidRPr="00EA612D">
        <w:rPr>
          <w:rFonts w:asciiTheme="minorEastAsia" w:hAnsiTheme="minorEastAsia" w:cs="Times New Roman" w:hint="eastAsia"/>
          <w:color w:val="000000" w:themeColor="text1"/>
          <w:sz w:val="24"/>
          <w:szCs w:val="24"/>
        </w:rPr>
        <w:t>年不再大规模集采</w:t>
      </w:r>
      <w:proofErr w:type="spellStart"/>
      <w:r w:rsidRPr="00EA612D">
        <w:rPr>
          <w:rFonts w:asciiTheme="minorEastAsia" w:hAnsiTheme="minorEastAsia" w:cs="Times New Roman"/>
          <w:color w:val="000000" w:themeColor="text1"/>
          <w:sz w:val="24"/>
          <w:szCs w:val="24"/>
        </w:rPr>
        <w:t>wifi</w:t>
      </w:r>
      <w:proofErr w:type="spellEnd"/>
      <w:r w:rsidRPr="00EA612D">
        <w:rPr>
          <w:rFonts w:asciiTheme="minorEastAsia" w:hAnsiTheme="minorEastAsia" w:cs="Times New Roman" w:hint="eastAsia"/>
          <w:color w:val="000000" w:themeColor="text1"/>
          <w:sz w:val="24"/>
          <w:szCs w:val="24"/>
        </w:rPr>
        <w:t>产品，导致公司与此相关的接入产品研发项目、智能控制平台、</w:t>
      </w:r>
      <w:r w:rsidRPr="00EA612D">
        <w:rPr>
          <w:rFonts w:asciiTheme="minorEastAsia" w:hAnsiTheme="minorEastAsia" w:cs="Times New Roman"/>
          <w:color w:val="000000" w:themeColor="text1"/>
          <w:sz w:val="24"/>
          <w:szCs w:val="24"/>
        </w:rPr>
        <w:t>WLAN</w:t>
      </w:r>
      <w:r w:rsidRPr="00EA612D">
        <w:rPr>
          <w:rFonts w:asciiTheme="minorEastAsia" w:hAnsiTheme="minorEastAsia" w:cs="Times New Roman" w:hint="eastAsia"/>
          <w:color w:val="000000" w:themeColor="text1"/>
          <w:sz w:val="24"/>
          <w:szCs w:val="24"/>
        </w:rPr>
        <w:t>智能接入控制器等项目存在减</w:t>
      </w:r>
      <w:r w:rsidRPr="00EA612D">
        <w:rPr>
          <w:rFonts w:asciiTheme="minorEastAsia" w:hAnsiTheme="minorEastAsia" w:cs="Times New Roman" w:hint="eastAsia"/>
          <w:color w:val="000000" w:themeColor="text1"/>
          <w:sz w:val="24"/>
          <w:szCs w:val="24"/>
        </w:rPr>
        <w:lastRenderedPageBreak/>
        <w:t>值风险。</w:t>
      </w:r>
    </w:p>
    <w:p w:rsidR="008B5BF9" w:rsidRPr="00EA612D" w:rsidRDefault="002A5495" w:rsidP="005C5DAF">
      <w:pPr>
        <w:pStyle w:val="a6"/>
        <w:numPr>
          <w:ilvl w:val="0"/>
          <w:numId w:val="22"/>
        </w:numPr>
        <w:tabs>
          <w:tab w:val="left" w:pos="426"/>
        </w:tabs>
        <w:spacing w:beforeLines="50" w:before="156" w:afterLines="50" w:after="156" w:line="360" w:lineRule="auto"/>
        <w:ind w:leftChars="50" w:left="105" w:rightChars="50" w:right="105" w:firstLineChars="294" w:firstLine="706"/>
        <w:jc w:val="left"/>
        <w:rPr>
          <w:rFonts w:asciiTheme="minorEastAsia" w:hAnsiTheme="minorEastAsia" w:cs="Times New Roman"/>
          <w:color w:val="000000" w:themeColor="text1"/>
          <w:sz w:val="24"/>
          <w:szCs w:val="24"/>
        </w:rPr>
      </w:pPr>
      <w:r w:rsidRPr="00EA612D">
        <w:rPr>
          <w:rFonts w:asciiTheme="minorEastAsia" w:hAnsiTheme="minorEastAsia" w:cs="Times New Roman" w:hint="eastAsia"/>
          <w:color w:val="000000" w:themeColor="text1"/>
          <w:sz w:val="24"/>
          <w:szCs w:val="24"/>
        </w:rPr>
        <w:t>公司之子公司西安大唐电信有限公司于</w:t>
      </w:r>
      <w:r w:rsidRPr="00EA612D">
        <w:rPr>
          <w:rFonts w:asciiTheme="minorEastAsia" w:hAnsiTheme="minorEastAsia" w:cs="Times New Roman"/>
          <w:color w:val="000000" w:themeColor="text1"/>
          <w:sz w:val="24"/>
          <w:szCs w:val="24"/>
        </w:rPr>
        <w:t>2008</w:t>
      </w:r>
      <w:r w:rsidRPr="00EA612D">
        <w:rPr>
          <w:rFonts w:asciiTheme="minorEastAsia" w:hAnsiTheme="minorEastAsia" w:cs="Times New Roman" w:hint="eastAsia"/>
          <w:color w:val="000000" w:themeColor="text1"/>
          <w:sz w:val="24"/>
          <w:szCs w:val="24"/>
        </w:rPr>
        <w:t>年开发的用于煤矿信息化行业相关矿用产品及软件，在国有大中型煤矿广泛应用。为了满足市场竞争需求和维护在</w:t>
      </w:r>
      <w:proofErr w:type="gramStart"/>
      <w:r w:rsidRPr="00EA612D">
        <w:rPr>
          <w:rFonts w:asciiTheme="minorEastAsia" w:hAnsiTheme="minorEastAsia" w:cs="Times New Roman" w:hint="eastAsia"/>
          <w:color w:val="000000" w:themeColor="text1"/>
          <w:sz w:val="24"/>
          <w:szCs w:val="24"/>
        </w:rPr>
        <w:t>网产品</w:t>
      </w:r>
      <w:proofErr w:type="gramEnd"/>
      <w:r w:rsidRPr="00EA612D">
        <w:rPr>
          <w:rFonts w:asciiTheme="minorEastAsia" w:hAnsiTheme="minorEastAsia" w:cs="Times New Roman" w:hint="eastAsia"/>
          <w:color w:val="000000" w:themeColor="text1"/>
          <w:sz w:val="24"/>
          <w:szCs w:val="24"/>
        </w:rPr>
        <w:t>持续运行，</w:t>
      </w:r>
      <w:r w:rsidRPr="00EA612D">
        <w:rPr>
          <w:rFonts w:asciiTheme="minorEastAsia" w:hAnsiTheme="minorEastAsia" w:cs="Times New Roman"/>
          <w:color w:val="000000" w:themeColor="text1"/>
          <w:sz w:val="24"/>
          <w:szCs w:val="24"/>
        </w:rPr>
        <w:t>2012</w:t>
      </w:r>
      <w:r w:rsidRPr="00EA612D">
        <w:rPr>
          <w:rFonts w:asciiTheme="minorEastAsia" w:hAnsiTheme="minorEastAsia" w:cs="Times New Roman" w:hint="eastAsia"/>
          <w:color w:val="000000" w:themeColor="text1"/>
          <w:sz w:val="24"/>
          <w:szCs w:val="24"/>
        </w:rPr>
        <w:t>年西安大唐继续投入研发新产品和软件更新。随着煤炭行业调整，煤炭信息化产品市场出现波动</w:t>
      </w:r>
      <w:r w:rsidRPr="00EA612D">
        <w:rPr>
          <w:rFonts w:asciiTheme="minorEastAsia" w:hAnsiTheme="minorEastAsia" w:cs="Times New Roman"/>
          <w:color w:val="000000" w:themeColor="text1"/>
          <w:sz w:val="24"/>
          <w:szCs w:val="24"/>
        </w:rPr>
        <w:t>,</w:t>
      </w:r>
      <w:r w:rsidRPr="00EA612D">
        <w:rPr>
          <w:rFonts w:asciiTheme="minorEastAsia" w:hAnsiTheme="minorEastAsia" w:cs="Times New Roman" w:hint="eastAsia"/>
          <w:color w:val="000000" w:themeColor="text1"/>
          <w:sz w:val="24"/>
          <w:szCs w:val="24"/>
        </w:rPr>
        <w:t>西安大唐认为属于市场正常周期性波动，将其资本化。</w:t>
      </w:r>
      <w:r w:rsidRPr="00EA612D">
        <w:rPr>
          <w:rFonts w:asciiTheme="minorEastAsia" w:hAnsiTheme="minorEastAsia" w:cs="Times New Roman"/>
          <w:color w:val="000000" w:themeColor="text1"/>
          <w:sz w:val="24"/>
          <w:szCs w:val="24"/>
        </w:rPr>
        <w:t>2015</w:t>
      </w:r>
      <w:r w:rsidRPr="00EA612D">
        <w:rPr>
          <w:rFonts w:asciiTheme="minorEastAsia" w:hAnsiTheme="minorEastAsia" w:cs="Times New Roman" w:hint="eastAsia"/>
          <w:color w:val="000000" w:themeColor="text1"/>
          <w:sz w:val="24"/>
          <w:szCs w:val="24"/>
        </w:rPr>
        <w:t>年煤炭行业持续低迷，煤炭信息化市场需求严重萎缩，加上公司战略转型，清理低效业务，</w:t>
      </w:r>
      <w:r w:rsidRPr="00EA612D">
        <w:rPr>
          <w:rFonts w:asciiTheme="minorEastAsia" w:hAnsiTheme="minorEastAsia" w:cs="Times New Roman"/>
          <w:color w:val="000000" w:themeColor="text1"/>
          <w:sz w:val="24"/>
          <w:szCs w:val="24"/>
        </w:rPr>
        <w:t>2016</w:t>
      </w:r>
      <w:r w:rsidRPr="00EA612D">
        <w:rPr>
          <w:rFonts w:asciiTheme="minorEastAsia" w:hAnsiTheme="minorEastAsia" w:cs="Times New Roman" w:hint="eastAsia"/>
          <w:color w:val="000000" w:themeColor="text1"/>
          <w:sz w:val="24"/>
          <w:szCs w:val="24"/>
        </w:rPr>
        <w:t>年决定退出煤炭行业，矿用网络系统、矿用</w:t>
      </w:r>
      <w:r w:rsidRPr="00EA612D">
        <w:rPr>
          <w:rFonts w:asciiTheme="minorEastAsia" w:hAnsiTheme="minorEastAsia" w:cs="Times New Roman"/>
          <w:color w:val="000000" w:themeColor="text1"/>
          <w:sz w:val="24"/>
          <w:szCs w:val="24"/>
        </w:rPr>
        <w:t>WCDMA</w:t>
      </w:r>
      <w:r w:rsidRPr="00EA612D">
        <w:rPr>
          <w:rFonts w:asciiTheme="minorEastAsia" w:hAnsiTheme="minorEastAsia" w:cs="Times New Roman" w:hint="eastAsia"/>
          <w:color w:val="000000" w:themeColor="text1"/>
          <w:sz w:val="24"/>
          <w:szCs w:val="24"/>
        </w:rPr>
        <w:t>无线通信系统</w:t>
      </w:r>
      <w:r w:rsidRPr="00EA612D">
        <w:rPr>
          <w:rFonts w:asciiTheme="minorEastAsia" w:hAnsiTheme="minorEastAsia" w:cs="Times New Roman"/>
          <w:color w:val="000000" w:themeColor="text1"/>
          <w:sz w:val="24"/>
          <w:szCs w:val="24"/>
        </w:rPr>
        <w:t>MA</w:t>
      </w:r>
      <w:r w:rsidRPr="00EA612D">
        <w:rPr>
          <w:rFonts w:asciiTheme="minorEastAsia" w:hAnsiTheme="minorEastAsia" w:cs="Times New Roman" w:hint="eastAsia"/>
          <w:color w:val="000000" w:themeColor="text1"/>
          <w:sz w:val="24"/>
          <w:szCs w:val="24"/>
        </w:rPr>
        <w:t>改造设计、矿用无线通信系统软件等资产存在减值风险。</w:t>
      </w:r>
    </w:p>
    <w:p w:rsidR="00A35D1A" w:rsidRPr="00EA612D" w:rsidRDefault="00A35D1A" w:rsidP="00F663C7">
      <w:pPr>
        <w:spacing w:beforeLines="50" w:before="156" w:afterLines="50" w:after="156" w:line="360" w:lineRule="auto"/>
        <w:ind w:leftChars="50" w:left="105" w:rightChars="50" w:right="105" w:firstLineChars="200" w:firstLine="480"/>
        <w:jc w:val="left"/>
        <w:rPr>
          <w:rFonts w:asciiTheme="minorEastAsia" w:hAnsiTheme="minorEastAsia" w:cs="Times New Roman"/>
          <w:color w:val="000000" w:themeColor="text1"/>
          <w:kern w:val="0"/>
          <w:sz w:val="24"/>
          <w:szCs w:val="24"/>
        </w:rPr>
      </w:pPr>
      <w:r w:rsidRPr="00EA612D">
        <w:rPr>
          <w:rFonts w:asciiTheme="minorEastAsia" w:hAnsiTheme="minorEastAsia" w:cs="Times New Roman"/>
          <w:color w:val="000000" w:themeColor="text1"/>
          <w:kern w:val="0"/>
          <w:sz w:val="24"/>
          <w:szCs w:val="24"/>
        </w:rPr>
        <w:t>虽然</w:t>
      </w:r>
      <w:r w:rsidR="002A5495" w:rsidRPr="00EA612D">
        <w:rPr>
          <w:rFonts w:asciiTheme="minorEastAsia" w:hAnsiTheme="minorEastAsia" w:cs="Times New Roman" w:hint="eastAsia"/>
          <w:color w:val="000000" w:themeColor="text1"/>
          <w:kern w:val="0"/>
          <w:sz w:val="24"/>
          <w:szCs w:val="24"/>
        </w:rPr>
        <w:t>上述</w:t>
      </w:r>
      <w:r w:rsidRPr="00EA612D">
        <w:rPr>
          <w:rFonts w:asciiTheme="minorEastAsia" w:hAnsiTheme="minorEastAsia" w:cs="Times New Roman"/>
          <w:color w:val="000000" w:themeColor="text1"/>
          <w:kern w:val="0"/>
          <w:sz w:val="24"/>
          <w:szCs w:val="24"/>
        </w:rPr>
        <w:t>相关技术在2015年度为公司及公司子公司西安大唐电信有限公司带来收入5,931万元、毛利2,352万元，但在技术更新换代影响下2016年仅为公司及公司子公司西安大唐电信有限公司带来收入1,843万元、毛利468万元。其无形资产存在减值迹象明显，公司根据</w:t>
      </w:r>
      <w:r w:rsidR="00412A82" w:rsidRPr="00EA612D">
        <w:rPr>
          <w:rFonts w:asciiTheme="minorEastAsia" w:hAnsiTheme="minorEastAsia" w:cs="Times New Roman" w:hint="eastAsia"/>
          <w:color w:val="000000" w:themeColor="text1"/>
          <w:kern w:val="0"/>
          <w:sz w:val="24"/>
          <w:szCs w:val="24"/>
        </w:rPr>
        <w:t>业务判断</w:t>
      </w:r>
      <w:r w:rsidRPr="00EA612D">
        <w:rPr>
          <w:rFonts w:asciiTheme="minorEastAsia" w:hAnsiTheme="minorEastAsia" w:cs="Times New Roman"/>
          <w:color w:val="000000" w:themeColor="text1"/>
          <w:kern w:val="0"/>
          <w:sz w:val="24"/>
          <w:szCs w:val="24"/>
        </w:rPr>
        <w:t>和评估报告，对上述</w:t>
      </w:r>
      <w:r w:rsidR="00A6312D" w:rsidRPr="00EA612D">
        <w:rPr>
          <w:rFonts w:asciiTheme="minorEastAsia" w:hAnsiTheme="minorEastAsia" w:cs="Times New Roman" w:hint="eastAsia"/>
          <w:color w:val="000000" w:themeColor="text1"/>
          <w:kern w:val="0"/>
          <w:sz w:val="24"/>
          <w:szCs w:val="24"/>
        </w:rPr>
        <w:t>相关</w:t>
      </w:r>
      <w:r w:rsidRPr="00EA612D">
        <w:rPr>
          <w:rFonts w:asciiTheme="minorEastAsia" w:hAnsiTheme="minorEastAsia" w:cs="Times New Roman"/>
          <w:color w:val="000000" w:themeColor="text1"/>
          <w:kern w:val="0"/>
          <w:sz w:val="24"/>
          <w:szCs w:val="24"/>
        </w:rPr>
        <w:t>无形资产计提减值准备4,064.44万元。</w:t>
      </w:r>
    </w:p>
    <w:p w:rsidR="00A35D1A" w:rsidRPr="00EA612D" w:rsidRDefault="00AB1C71" w:rsidP="00F663C7">
      <w:pPr>
        <w:spacing w:beforeLines="50" w:before="156" w:afterLines="50" w:after="156" w:line="360" w:lineRule="auto"/>
        <w:ind w:leftChars="50" w:left="105" w:rightChars="50" w:right="105" w:firstLineChars="200" w:firstLine="480"/>
        <w:jc w:val="left"/>
        <w:rPr>
          <w:rFonts w:asciiTheme="minorEastAsia" w:hAnsiTheme="minorEastAsia" w:cs="Times New Roman"/>
          <w:color w:val="000000" w:themeColor="text1"/>
          <w:kern w:val="0"/>
          <w:sz w:val="24"/>
          <w:szCs w:val="24"/>
        </w:rPr>
      </w:pPr>
      <w:r w:rsidRPr="00EA612D">
        <w:rPr>
          <w:rFonts w:asciiTheme="minorEastAsia" w:hAnsiTheme="minorEastAsia" w:cs="Times New Roman" w:hint="eastAsia"/>
          <w:color w:val="000000" w:themeColor="text1"/>
          <w:kern w:val="0"/>
          <w:sz w:val="24"/>
          <w:szCs w:val="24"/>
        </w:rPr>
        <w:t>③</w:t>
      </w:r>
      <w:r w:rsidR="00A35D1A" w:rsidRPr="00EA612D">
        <w:rPr>
          <w:rFonts w:asciiTheme="minorEastAsia" w:hAnsiTheme="minorEastAsia" w:cs="Times New Roman" w:hint="eastAsia"/>
          <w:color w:val="000000" w:themeColor="text1"/>
          <w:kern w:val="0"/>
          <w:sz w:val="24"/>
          <w:szCs w:val="24"/>
        </w:rPr>
        <w:t>游戏停止运营影响</w:t>
      </w:r>
    </w:p>
    <w:p w:rsidR="00A35D1A" w:rsidRPr="00EA612D" w:rsidRDefault="00A35D1A" w:rsidP="00F663C7">
      <w:pPr>
        <w:spacing w:beforeLines="50" w:before="156" w:afterLines="50" w:after="156" w:line="360" w:lineRule="auto"/>
        <w:ind w:leftChars="50" w:left="105" w:rightChars="50" w:right="105" w:firstLineChars="250" w:firstLine="600"/>
        <w:jc w:val="left"/>
        <w:rPr>
          <w:rFonts w:asciiTheme="minorEastAsia" w:hAnsiTheme="minorEastAsia" w:cs="Times New Roman"/>
          <w:bCs/>
          <w:color w:val="000000" w:themeColor="text1"/>
          <w:sz w:val="24"/>
          <w:szCs w:val="24"/>
        </w:rPr>
      </w:pPr>
      <w:r w:rsidRPr="00EA612D">
        <w:rPr>
          <w:rFonts w:asciiTheme="minorEastAsia" w:hAnsiTheme="minorEastAsia" w:cs="Times New Roman" w:hint="eastAsia"/>
          <w:color w:val="000000" w:themeColor="text1"/>
          <w:kern w:val="0"/>
          <w:sz w:val="24"/>
          <w:szCs w:val="24"/>
        </w:rPr>
        <w:t>公司之子公司广州要玩娱乐网络技术有限公司自行开发的游戏混沌之</w:t>
      </w:r>
      <w:proofErr w:type="gramStart"/>
      <w:r w:rsidRPr="00EA612D">
        <w:rPr>
          <w:rFonts w:asciiTheme="minorEastAsia" w:hAnsiTheme="minorEastAsia" w:cs="Times New Roman" w:hint="eastAsia"/>
          <w:color w:val="000000" w:themeColor="text1"/>
          <w:kern w:val="0"/>
          <w:sz w:val="24"/>
          <w:szCs w:val="24"/>
        </w:rPr>
        <w:t>刃</w:t>
      </w:r>
      <w:proofErr w:type="gramEnd"/>
      <w:r w:rsidRPr="00EA612D">
        <w:rPr>
          <w:rFonts w:asciiTheme="minorEastAsia" w:hAnsiTheme="minorEastAsia" w:cs="Times New Roman" w:hint="eastAsia"/>
          <w:color w:val="000000" w:themeColor="text1"/>
          <w:kern w:val="0"/>
          <w:sz w:val="24"/>
          <w:szCs w:val="24"/>
        </w:rPr>
        <w:t>及屠龙传说，由于相关游戏在</w:t>
      </w:r>
      <w:r w:rsidRPr="00EA612D">
        <w:rPr>
          <w:rFonts w:asciiTheme="minorEastAsia" w:hAnsiTheme="minorEastAsia" w:cs="Times New Roman"/>
          <w:color w:val="000000" w:themeColor="text1"/>
          <w:kern w:val="0"/>
          <w:sz w:val="24"/>
          <w:szCs w:val="24"/>
        </w:rPr>
        <w:t>2016</w:t>
      </w:r>
      <w:r w:rsidRPr="00EA612D">
        <w:rPr>
          <w:rFonts w:asciiTheme="minorEastAsia" w:hAnsiTheme="minorEastAsia" w:cs="Times New Roman" w:hint="eastAsia"/>
          <w:color w:val="000000" w:themeColor="text1"/>
          <w:kern w:val="0"/>
          <w:sz w:val="24"/>
          <w:szCs w:val="24"/>
        </w:rPr>
        <w:t>年度确认停服或者</w:t>
      </w:r>
      <w:proofErr w:type="gramStart"/>
      <w:r w:rsidRPr="00EA612D">
        <w:rPr>
          <w:rFonts w:asciiTheme="minorEastAsia" w:hAnsiTheme="minorEastAsia" w:cs="Times New Roman" w:hint="eastAsia"/>
          <w:color w:val="000000" w:themeColor="text1"/>
          <w:kern w:val="0"/>
          <w:sz w:val="24"/>
          <w:szCs w:val="24"/>
        </w:rPr>
        <w:t>更新重</w:t>
      </w:r>
      <w:proofErr w:type="gramEnd"/>
      <w:r w:rsidRPr="00EA612D">
        <w:rPr>
          <w:rFonts w:asciiTheme="minorEastAsia" w:hAnsiTheme="minorEastAsia" w:cs="Times New Roman" w:hint="eastAsia"/>
          <w:color w:val="000000" w:themeColor="text1"/>
          <w:kern w:val="0"/>
          <w:sz w:val="24"/>
          <w:szCs w:val="24"/>
        </w:rPr>
        <w:t>造，其在</w:t>
      </w:r>
      <w:r w:rsidRPr="00EA612D">
        <w:rPr>
          <w:rFonts w:asciiTheme="minorEastAsia" w:hAnsiTheme="minorEastAsia" w:cs="Times New Roman"/>
          <w:color w:val="000000" w:themeColor="text1"/>
          <w:kern w:val="0"/>
          <w:sz w:val="24"/>
          <w:szCs w:val="24"/>
        </w:rPr>
        <w:t>2015</w:t>
      </w:r>
      <w:r w:rsidRPr="00EA612D">
        <w:rPr>
          <w:rFonts w:asciiTheme="minorEastAsia" w:hAnsiTheme="minorEastAsia" w:cs="Times New Roman" w:hint="eastAsia"/>
          <w:color w:val="000000" w:themeColor="text1"/>
          <w:kern w:val="0"/>
          <w:sz w:val="24"/>
          <w:szCs w:val="24"/>
        </w:rPr>
        <w:t>年度一直有较好的游戏流水，仅上线</w:t>
      </w:r>
      <w:r w:rsidRPr="00EA612D">
        <w:rPr>
          <w:rFonts w:asciiTheme="minorEastAsia" w:hAnsiTheme="minorEastAsia" w:cs="Times New Roman"/>
          <w:color w:val="000000" w:themeColor="text1"/>
          <w:kern w:val="0"/>
          <w:sz w:val="24"/>
          <w:szCs w:val="24"/>
        </w:rPr>
        <w:t>2-3</w:t>
      </w:r>
      <w:r w:rsidRPr="00EA612D">
        <w:rPr>
          <w:rFonts w:asciiTheme="minorEastAsia" w:hAnsiTheme="minorEastAsia" w:cs="Times New Roman" w:hint="eastAsia"/>
          <w:color w:val="000000" w:themeColor="text1"/>
          <w:kern w:val="0"/>
          <w:sz w:val="24"/>
          <w:szCs w:val="24"/>
        </w:rPr>
        <w:t>个月为公司带来收入</w:t>
      </w:r>
      <w:r w:rsidRPr="00EA612D">
        <w:rPr>
          <w:rFonts w:asciiTheme="minorEastAsia" w:hAnsiTheme="minorEastAsia" w:cs="Times New Roman"/>
          <w:color w:val="000000" w:themeColor="text1"/>
          <w:kern w:val="0"/>
          <w:sz w:val="24"/>
          <w:szCs w:val="24"/>
        </w:rPr>
        <w:t>189</w:t>
      </w:r>
      <w:r w:rsidRPr="00EA612D">
        <w:rPr>
          <w:rFonts w:asciiTheme="minorEastAsia" w:hAnsiTheme="minorEastAsia" w:cs="Times New Roman" w:hint="eastAsia"/>
          <w:color w:val="000000" w:themeColor="text1"/>
          <w:kern w:val="0"/>
          <w:sz w:val="24"/>
          <w:szCs w:val="24"/>
        </w:rPr>
        <w:t>万</w:t>
      </w:r>
      <w:r w:rsidR="001154A7" w:rsidRPr="00EA612D">
        <w:rPr>
          <w:rFonts w:asciiTheme="minorEastAsia" w:hAnsiTheme="minorEastAsia" w:cs="Times New Roman" w:hint="eastAsia"/>
          <w:color w:val="000000" w:themeColor="text1"/>
          <w:kern w:val="0"/>
          <w:sz w:val="24"/>
          <w:szCs w:val="24"/>
        </w:rPr>
        <w:t>元</w:t>
      </w:r>
      <w:r w:rsidRPr="00EA612D">
        <w:rPr>
          <w:rFonts w:asciiTheme="minorEastAsia" w:hAnsiTheme="minorEastAsia" w:cs="Times New Roman" w:hint="eastAsia"/>
          <w:color w:val="000000" w:themeColor="text1"/>
          <w:kern w:val="0"/>
          <w:sz w:val="24"/>
          <w:szCs w:val="24"/>
        </w:rPr>
        <w:t>，但在</w:t>
      </w:r>
      <w:r w:rsidRPr="00EA612D">
        <w:rPr>
          <w:rFonts w:asciiTheme="minorEastAsia" w:hAnsiTheme="minorEastAsia" w:cs="Times New Roman"/>
          <w:color w:val="000000" w:themeColor="text1"/>
          <w:kern w:val="0"/>
          <w:sz w:val="24"/>
          <w:szCs w:val="24"/>
        </w:rPr>
        <w:t>2016</w:t>
      </w:r>
      <w:r w:rsidRPr="00EA612D">
        <w:rPr>
          <w:rFonts w:asciiTheme="minorEastAsia" w:hAnsiTheme="minorEastAsia" w:cs="Times New Roman" w:hint="eastAsia"/>
          <w:color w:val="000000" w:themeColor="text1"/>
          <w:kern w:val="0"/>
          <w:sz w:val="24"/>
          <w:szCs w:val="24"/>
        </w:rPr>
        <w:t>年度出现明显恶化</w:t>
      </w:r>
      <w:r w:rsidR="00412A82" w:rsidRPr="00EA612D">
        <w:rPr>
          <w:rFonts w:asciiTheme="minorEastAsia" w:hAnsiTheme="minorEastAsia" w:cs="Times New Roman" w:hint="eastAsia"/>
          <w:color w:val="000000" w:themeColor="text1"/>
          <w:kern w:val="0"/>
          <w:sz w:val="24"/>
          <w:szCs w:val="24"/>
        </w:rPr>
        <w:t>，</w:t>
      </w:r>
      <w:r w:rsidRPr="00EA612D">
        <w:rPr>
          <w:rFonts w:asciiTheme="minorEastAsia" w:hAnsiTheme="minorEastAsia" w:cs="Times New Roman" w:hint="eastAsia"/>
          <w:color w:val="000000" w:themeColor="text1"/>
          <w:kern w:val="0"/>
          <w:sz w:val="24"/>
          <w:szCs w:val="24"/>
        </w:rPr>
        <w:t>全年度仅带来收益</w:t>
      </w:r>
      <w:r w:rsidRPr="00EA612D">
        <w:rPr>
          <w:rFonts w:asciiTheme="minorEastAsia" w:hAnsiTheme="minorEastAsia" w:cs="Times New Roman"/>
          <w:color w:val="000000" w:themeColor="text1"/>
          <w:kern w:val="0"/>
          <w:sz w:val="24"/>
          <w:szCs w:val="24"/>
        </w:rPr>
        <w:t>114</w:t>
      </w:r>
      <w:r w:rsidRPr="00EA612D">
        <w:rPr>
          <w:rFonts w:asciiTheme="minorEastAsia" w:hAnsiTheme="minorEastAsia" w:cs="Times New Roman" w:hint="eastAsia"/>
          <w:color w:val="000000" w:themeColor="text1"/>
          <w:kern w:val="0"/>
          <w:sz w:val="24"/>
          <w:szCs w:val="24"/>
        </w:rPr>
        <w:t>万元，公司两款游戏存在明显的减值迹象，根据预计未来的收益的现值折现计</w:t>
      </w:r>
      <w:r w:rsidRPr="00EA612D">
        <w:rPr>
          <w:rFonts w:asciiTheme="minorEastAsia" w:hAnsiTheme="minorEastAsia" w:cs="Times New Roman"/>
          <w:color w:val="000000" w:themeColor="text1"/>
          <w:sz w:val="24"/>
          <w:szCs w:val="24"/>
        </w:rPr>
        <w:t>算本期减值准备855.97万元。</w:t>
      </w:r>
    </w:p>
    <w:p w:rsidR="00A35D1A" w:rsidRPr="00EA612D" w:rsidRDefault="00A35D1A" w:rsidP="00F663C7">
      <w:pPr>
        <w:spacing w:beforeLines="50" w:before="156" w:afterLines="50" w:after="156" w:line="360" w:lineRule="auto"/>
        <w:ind w:leftChars="50" w:left="105" w:rightChars="50" w:right="105" w:firstLineChars="200" w:firstLine="482"/>
        <w:rPr>
          <w:rStyle w:val="a5"/>
          <w:rFonts w:asciiTheme="minorEastAsia" w:hAnsiTheme="minorEastAsia" w:cs="Times New Roman"/>
          <w:color w:val="000000" w:themeColor="text1"/>
          <w:sz w:val="24"/>
          <w:szCs w:val="24"/>
        </w:rPr>
      </w:pPr>
      <w:r w:rsidRPr="00EA612D">
        <w:rPr>
          <w:rStyle w:val="a5"/>
          <w:rFonts w:asciiTheme="minorEastAsia" w:hAnsiTheme="minorEastAsia" w:cs="Times New Roman"/>
          <w:color w:val="000000" w:themeColor="text1"/>
          <w:sz w:val="24"/>
          <w:szCs w:val="24"/>
        </w:rPr>
        <w:t>会计师意见：</w:t>
      </w:r>
    </w:p>
    <w:p w:rsidR="008637FB" w:rsidRPr="00EA612D" w:rsidRDefault="00D8029F" w:rsidP="005C5DAF">
      <w:pPr>
        <w:spacing w:beforeLines="50" w:before="156" w:afterLines="50" w:after="156" w:line="360" w:lineRule="auto"/>
        <w:ind w:leftChars="50" w:left="105" w:rightChars="50" w:right="105" w:firstLineChars="200" w:firstLine="480"/>
        <w:jc w:val="left"/>
        <w:rPr>
          <w:rFonts w:asciiTheme="minorEastAsia" w:hAnsiTheme="minorEastAsia" w:cs="Times New Roman"/>
          <w:color w:val="000000" w:themeColor="text1"/>
          <w:sz w:val="24"/>
          <w:szCs w:val="24"/>
        </w:rPr>
      </w:pPr>
      <w:r w:rsidRPr="00EA612D">
        <w:rPr>
          <w:rFonts w:asciiTheme="minorEastAsia" w:hAnsiTheme="minorEastAsia" w:cs="Times New Roman" w:hint="eastAsia"/>
          <w:color w:val="000000" w:themeColor="text1"/>
          <w:sz w:val="24"/>
          <w:szCs w:val="24"/>
        </w:rPr>
        <w:t>我们获取了无形资产减值准备计提的批准文件，取得了无形资产减值外部评估机构的评估报告，复核被审计单位计提无形资产减值准备依据的充分性及会计处理的准确性。我们认为：公司本期确认无形资产减值损失</w:t>
      </w:r>
      <w:r w:rsidRPr="00EA612D">
        <w:rPr>
          <w:rFonts w:asciiTheme="minorEastAsia" w:hAnsiTheme="minorEastAsia" w:cs="Times New Roman"/>
          <w:color w:val="000000" w:themeColor="text1"/>
          <w:sz w:val="24"/>
          <w:szCs w:val="24"/>
        </w:rPr>
        <w:t xml:space="preserve">12,423.15 </w:t>
      </w:r>
      <w:r w:rsidRPr="00EA612D">
        <w:rPr>
          <w:rFonts w:asciiTheme="minorEastAsia" w:hAnsiTheme="minorEastAsia" w:cs="Times New Roman" w:hint="eastAsia"/>
          <w:color w:val="000000" w:themeColor="text1"/>
          <w:sz w:val="24"/>
          <w:szCs w:val="24"/>
        </w:rPr>
        <w:t>万元，依据充分合理。符合公司的实际情况及企业会计准则的规定。</w:t>
      </w:r>
    </w:p>
    <w:p w:rsidR="00A35D1A" w:rsidRPr="00EA612D" w:rsidRDefault="00A35D1A" w:rsidP="008637FB">
      <w:pPr>
        <w:spacing w:beforeLines="50" w:before="156" w:afterLines="50" w:after="156" w:line="360" w:lineRule="auto"/>
        <w:ind w:leftChars="50" w:left="105" w:rightChars="50" w:right="105" w:firstLineChars="200" w:firstLine="482"/>
        <w:jc w:val="left"/>
        <w:rPr>
          <w:rStyle w:val="a5"/>
          <w:rFonts w:asciiTheme="minorEastAsia" w:hAnsiTheme="minorEastAsia" w:cs="Times New Roman"/>
          <w:color w:val="000000" w:themeColor="text1"/>
          <w:sz w:val="24"/>
          <w:szCs w:val="24"/>
        </w:rPr>
      </w:pPr>
      <w:r w:rsidRPr="00EA612D">
        <w:rPr>
          <w:rStyle w:val="a5"/>
          <w:rFonts w:asciiTheme="minorEastAsia" w:hAnsiTheme="minorEastAsia" w:cs="Times New Roman"/>
          <w:color w:val="000000" w:themeColor="text1"/>
          <w:sz w:val="24"/>
          <w:szCs w:val="24"/>
        </w:rPr>
        <w:t>（二）关于管理费用</w:t>
      </w:r>
    </w:p>
    <w:p w:rsidR="00A35D1A" w:rsidRPr="00EA612D" w:rsidRDefault="00A35D1A" w:rsidP="00F663C7">
      <w:pPr>
        <w:spacing w:beforeLines="50" w:before="156" w:afterLines="50" w:after="156" w:line="360" w:lineRule="auto"/>
        <w:ind w:leftChars="50" w:left="105" w:rightChars="50" w:right="105" w:firstLineChars="200" w:firstLine="482"/>
        <w:jc w:val="left"/>
        <w:rPr>
          <w:rStyle w:val="a5"/>
          <w:rFonts w:asciiTheme="minorEastAsia" w:hAnsiTheme="minorEastAsia" w:cs="Times New Roman"/>
          <w:color w:val="000000" w:themeColor="text1"/>
          <w:sz w:val="24"/>
          <w:szCs w:val="24"/>
        </w:rPr>
      </w:pPr>
      <w:r w:rsidRPr="00EA612D">
        <w:rPr>
          <w:rStyle w:val="a5"/>
          <w:rFonts w:asciiTheme="minorEastAsia" w:hAnsiTheme="minorEastAsia" w:cs="Times New Roman"/>
          <w:color w:val="000000" w:themeColor="text1"/>
          <w:sz w:val="24"/>
          <w:szCs w:val="24"/>
        </w:rPr>
        <w:lastRenderedPageBreak/>
        <w:t>7.研究与开发费用。年报披露，公司本期确认研究与开发费用5.09 亿元，比上年同期增加 2.5 亿元。请公司补充披露确认研究与开发费用的具体情况，本期确认费用大幅高于上期的原因、依据及合理性。请会计师核查并发表意见。</w:t>
      </w:r>
    </w:p>
    <w:p w:rsidR="00A35D1A" w:rsidRPr="00EA612D" w:rsidRDefault="00A35D1A" w:rsidP="00F663C7">
      <w:pPr>
        <w:spacing w:beforeLines="50" w:before="156" w:afterLines="50" w:after="156" w:line="360" w:lineRule="auto"/>
        <w:ind w:leftChars="50" w:left="105" w:rightChars="50" w:right="105" w:firstLineChars="200" w:firstLine="482"/>
        <w:jc w:val="left"/>
        <w:rPr>
          <w:rStyle w:val="a5"/>
          <w:rFonts w:asciiTheme="minorEastAsia" w:hAnsiTheme="minorEastAsia" w:cs="Times New Roman"/>
          <w:color w:val="000000" w:themeColor="text1"/>
          <w:sz w:val="24"/>
          <w:szCs w:val="24"/>
        </w:rPr>
      </w:pPr>
      <w:r w:rsidRPr="00EA612D">
        <w:rPr>
          <w:rStyle w:val="a5"/>
          <w:rFonts w:asciiTheme="minorEastAsia" w:hAnsiTheme="minorEastAsia" w:cs="Times New Roman"/>
          <w:color w:val="000000" w:themeColor="text1"/>
          <w:sz w:val="24"/>
          <w:szCs w:val="24"/>
        </w:rPr>
        <w:t>公司回复：</w:t>
      </w:r>
    </w:p>
    <w:p w:rsidR="00A35D1A" w:rsidRPr="00EA612D" w:rsidRDefault="0019511F" w:rsidP="00F663C7">
      <w:pPr>
        <w:spacing w:beforeLines="50" w:before="156" w:afterLines="50" w:after="156" w:line="360" w:lineRule="auto"/>
        <w:ind w:leftChars="50" w:left="105" w:rightChars="50" w:right="105" w:firstLineChars="150" w:firstLine="360"/>
        <w:jc w:val="left"/>
        <w:rPr>
          <w:rFonts w:asciiTheme="minorEastAsia" w:hAnsiTheme="minorEastAsia" w:cs="Times New Roman"/>
          <w:b/>
          <w:color w:val="000000" w:themeColor="text1"/>
          <w:sz w:val="24"/>
          <w:szCs w:val="24"/>
        </w:rPr>
      </w:pPr>
      <w:r w:rsidRPr="00EA612D">
        <w:rPr>
          <w:rFonts w:asciiTheme="minorEastAsia" w:hAnsiTheme="minorEastAsia" w:cs="Times New Roman" w:hint="eastAsia"/>
          <w:color w:val="000000" w:themeColor="text1"/>
          <w:sz w:val="24"/>
          <w:szCs w:val="24"/>
        </w:rPr>
        <w:t>（1）</w:t>
      </w:r>
      <w:r w:rsidR="00A35D1A" w:rsidRPr="00EA612D">
        <w:rPr>
          <w:rStyle w:val="a5"/>
          <w:rFonts w:asciiTheme="minorEastAsia" w:hAnsiTheme="minorEastAsia" w:cs="Times New Roman"/>
          <w:b w:val="0"/>
          <w:color w:val="000000" w:themeColor="text1"/>
          <w:sz w:val="24"/>
          <w:szCs w:val="24"/>
        </w:rPr>
        <w:t>公司确认研究与开发费用的具体情况</w:t>
      </w:r>
    </w:p>
    <w:p w:rsidR="00A35D1A" w:rsidRPr="00EA612D" w:rsidRDefault="00A35D1A" w:rsidP="00F663C7">
      <w:pPr>
        <w:spacing w:beforeLines="50" w:before="156" w:afterLines="50" w:after="156" w:line="360" w:lineRule="auto"/>
        <w:ind w:leftChars="50" w:left="105" w:rightChars="50" w:right="105" w:firstLineChars="200" w:firstLine="480"/>
        <w:jc w:val="left"/>
        <w:rPr>
          <w:rFonts w:asciiTheme="minorEastAsia" w:hAnsiTheme="minorEastAsia" w:cs="Times New Roman"/>
          <w:color w:val="000000" w:themeColor="text1"/>
          <w:sz w:val="24"/>
          <w:szCs w:val="24"/>
        </w:rPr>
      </w:pPr>
      <w:r w:rsidRPr="00EA612D">
        <w:rPr>
          <w:rFonts w:asciiTheme="minorEastAsia" w:hAnsiTheme="minorEastAsia" w:cs="Times New Roman"/>
          <w:color w:val="000000" w:themeColor="text1"/>
          <w:sz w:val="24"/>
          <w:szCs w:val="24"/>
        </w:rPr>
        <w:t>根据《企业会计准则第6号—无形资产》的规定，公司将内部研究开发项目的支出划分为研究阶段支出和开发阶段支出。</w:t>
      </w:r>
    </w:p>
    <w:p w:rsidR="00A35D1A" w:rsidRPr="00EA612D" w:rsidRDefault="00A35D1A" w:rsidP="00F663C7">
      <w:pPr>
        <w:spacing w:beforeLines="50" w:before="156" w:afterLines="50" w:after="156" w:line="360" w:lineRule="auto"/>
        <w:ind w:leftChars="50" w:left="105" w:rightChars="50" w:right="105" w:firstLineChars="200" w:firstLine="480"/>
        <w:jc w:val="left"/>
        <w:rPr>
          <w:rFonts w:asciiTheme="minorEastAsia" w:hAnsiTheme="minorEastAsia" w:cs="Times New Roman"/>
          <w:color w:val="000000" w:themeColor="text1"/>
          <w:sz w:val="24"/>
          <w:szCs w:val="24"/>
        </w:rPr>
      </w:pPr>
      <w:r w:rsidRPr="00EA612D">
        <w:rPr>
          <w:rFonts w:asciiTheme="minorEastAsia" w:hAnsiTheme="minorEastAsia" w:cs="Times New Roman"/>
          <w:color w:val="000000" w:themeColor="text1"/>
          <w:sz w:val="24"/>
          <w:szCs w:val="24"/>
        </w:rPr>
        <w:t>研究阶段：为获取并理解新的科学或技术知识等而进行的独创性的有计划调查、研究活动的阶段。</w:t>
      </w:r>
    </w:p>
    <w:p w:rsidR="00A35D1A" w:rsidRPr="00EA612D" w:rsidRDefault="00A35D1A" w:rsidP="00F663C7">
      <w:pPr>
        <w:spacing w:beforeLines="50" w:before="156" w:afterLines="50" w:after="156" w:line="360" w:lineRule="auto"/>
        <w:ind w:leftChars="50" w:left="105" w:rightChars="50" w:right="105" w:firstLineChars="200" w:firstLine="480"/>
        <w:jc w:val="left"/>
        <w:rPr>
          <w:rFonts w:asciiTheme="minorEastAsia" w:hAnsiTheme="minorEastAsia" w:cs="Times New Roman"/>
          <w:color w:val="000000" w:themeColor="text1"/>
          <w:sz w:val="24"/>
          <w:szCs w:val="24"/>
        </w:rPr>
      </w:pPr>
      <w:r w:rsidRPr="00EA612D">
        <w:rPr>
          <w:rFonts w:asciiTheme="minorEastAsia" w:hAnsiTheme="minorEastAsia" w:cs="Times New Roman"/>
          <w:color w:val="000000" w:themeColor="text1"/>
          <w:sz w:val="24"/>
          <w:szCs w:val="24"/>
        </w:rPr>
        <w:t>开发阶段：在进行商业性生产或使用前，将研究成果或其他知识应用于某项计划或设计，以生产出新的或具有实质性改进的材料、装置、产品等活动的阶段。</w:t>
      </w:r>
    </w:p>
    <w:p w:rsidR="00A35D1A" w:rsidRPr="00EA612D" w:rsidRDefault="00A35D1A" w:rsidP="00F663C7">
      <w:pPr>
        <w:spacing w:beforeLines="50" w:before="156" w:afterLines="50" w:after="156" w:line="360" w:lineRule="auto"/>
        <w:ind w:leftChars="50" w:left="105" w:rightChars="50" w:right="105" w:firstLineChars="200" w:firstLine="480"/>
        <w:rPr>
          <w:rFonts w:asciiTheme="minorEastAsia" w:hAnsiTheme="minorEastAsia" w:cs="Times New Roman"/>
          <w:color w:val="000000" w:themeColor="text1"/>
          <w:sz w:val="24"/>
          <w:szCs w:val="24"/>
        </w:rPr>
      </w:pPr>
      <w:r w:rsidRPr="00EA612D">
        <w:rPr>
          <w:rFonts w:asciiTheme="minorEastAsia" w:hAnsiTheme="minorEastAsia" w:cs="Times New Roman"/>
          <w:color w:val="000000" w:themeColor="text1"/>
          <w:sz w:val="24"/>
          <w:szCs w:val="24"/>
        </w:rPr>
        <w:t>研究阶段的支出，在发生时计入当期损益。开发阶段的支出，若满足资本化条件的，予以资本化；若不满足资本化条件的，于发生时计入当期损益。</w:t>
      </w:r>
    </w:p>
    <w:p w:rsidR="00A35D1A" w:rsidRPr="00EA612D" w:rsidRDefault="00A35D1A" w:rsidP="00F663C7">
      <w:pPr>
        <w:spacing w:beforeLines="50" w:before="156" w:afterLines="50" w:after="156" w:line="360" w:lineRule="auto"/>
        <w:ind w:leftChars="50" w:left="105" w:rightChars="50" w:right="105" w:firstLineChars="200" w:firstLine="480"/>
        <w:rPr>
          <w:rFonts w:ascii="Times New Roman" w:hAnsi="Times New Roman" w:cs="Times New Roman"/>
          <w:color w:val="000000" w:themeColor="text1"/>
          <w:sz w:val="28"/>
          <w:szCs w:val="28"/>
        </w:rPr>
      </w:pPr>
      <w:r w:rsidRPr="00EA612D">
        <w:rPr>
          <w:rFonts w:asciiTheme="minorEastAsia" w:hAnsiTheme="minorEastAsia" w:cs="Times New Roman"/>
          <w:color w:val="000000" w:themeColor="text1"/>
          <w:sz w:val="24"/>
          <w:szCs w:val="24"/>
        </w:rPr>
        <w:t>公司2015年度和2016度年研究与开发费用明细如下：</w:t>
      </w:r>
      <w:r w:rsidRPr="00EA612D">
        <w:rPr>
          <w:rFonts w:ascii="Times New Roman" w:hAnsi="Times New Roman" w:cs="Times New Roman"/>
          <w:color w:val="000000" w:themeColor="text1"/>
          <w:sz w:val="28"/>
          <w:szCs w:val="28"/>
        </w:rPr>
        <w:t xml:space="preserve"> </w:t>
      </w:r>
    </w:p>
    <w:p w:rsidR="00A35D1A" w:rsidRPr="00EA612D" w:rsidRDefault="00A35D1A" w:rsidP="00AB1C71">
      <w:pPr>
        <w:adjustRightInd w:val="0"/>
        <w:snapToGrid w:val="0"/>
        <w:spacing w:line="400" w:lineRule="atLeast"/>
        <w:ind w:firstLineChars="200" w:firstLine="420"/>
        <w:jc w:val="right"/>
        <w:rPr>
          <w:rFonts w:ascii="Times New Roman" w:hAnsi="Times New Roman" w:cs="Times New Roman"/>
          <w:color w:val="000000" w:themeColor="text1"/>
          <w:szCs w:val="21"/>
        </w:rPr>
      </w:pPr>
      <w:r w:rsidRPr="00EA612D">
        <w:rPr>
          <w:rFonts w:ascii="Times New Roman" w:hAnsi="Times New Roman" w:cs="Times New Roman"/>
          <w:color w:val="000000" w:themeColor="text1"/>
          <w:szCs w:val="21"/>
        </w:rPr>
        <w:t>单位：人民币万元</w:t>
      </w:r>
    </w:p>
    <w:tbl>
      <w:tblPr>
        <w:tblW w:w="5000" w:type="pct"/>
        <w:tblBorders>
          <w:top w:val="single" w:sz="12" w:space="0" w:color="auto"/>
          <w:bottom w:val="single" w:sz="12" w:space="0" w:color="auto"/>
          <w:insideH w:val="dotted" w:sz="4" w:space="0" w:color="auto"/>
          <w:insideV w:val="dotted" w:sz="4" w:space="0" w:color="auto"/>
        </w:tblBorders>
        <w:tblLook w:val="04A0" w:firstRow="1" w:lastRow="0" w:firstColumn="1" w:lastColumn="0" w:noHBand="0" w:noVBand="1"/>
      </w:tblPr>
      <w:tblGrid>
        <w:gridCol w:w="1526"/>
        <w:gridCol w:w="1843"/>
        <w:gridCol w:w="1417"/>
        <w:gridCol w:w="1986"/>
        <w:gridCol w:w="1750"/>
      </w:tblGrid>
      <w:tr w:rsidR="00835FFC" w:rsidRPr="00EA612D" w:rsidTr="00A35D1A">
        <w:trPr>
          <w:trHeight w:val="283"/>
        </w:trPr>
        <w:tc>
          <w:tcPr>
            <w:tcW w:w="895" w:type="pct"/>
            <w:shd w:val="clear" w:color="auto" w:fill="auto"/>
            <w:vAlign w:val="center"/>
            <w:hideMark/>
          </w:tcPr>
          <w:p w:rsidR="00A35D1A" w:rsidRPr="00EA612D" w:rsidRDefault="00A35D1A" w:rsidP="00A35D1A">
            <w:pPr>
              <w:snapToGrid w:val="0"/>
              <w:spacing w:line="200" w:lineRule="atLeast"/>
              <w:ind w:leftChars="-20" w:left="-42"/>
              <w:jc w:val="left"/>
              <w:rPr>
                <w:rFonts w:ascii="Times New Roman" w:hAnsi="Times New Roman" w:cs="Times New Roman"/>
                <w:color w:val="000000" w:themeColor="text1"/>
                <w:sz w:val="16"/>
                <w:szCs w:val="16"/>
              </w:rPr>
            </w:pPr>
            <w:r w:rsidRPr="00EA612D">
              <w:rPr>
                <w:rFonts w:ascii="Times New Roman" w:hAnsi="Times New Roman" w:cs="Times New Roman"/>
                <w:bCs/>
                <w:color w:val="000000" w:themeColor="text1"/>
                <w:kern w:val="0"/>
                <w:sz w:val="16"/>
                <w:szCs w:val="16"/>
              </w:rPr>
              <w:t>期间</w:t>
            </w:r>
          </w:p>
        </w:tc>
        <w:tc>
          <w:tcPr>
            <w:tcW w:w="1081" w:type="pct"/>
            <w:shd w:val="clear" w:color="auto" w:fill="auto"/>
            <w:vAlign w:val="center"/>
            <w:hideMark/>
          </w:tcPr>
          <w:p w:rsidR="00A35D1A" w:rsidRPr="00EA612D" w:rsidRDefault="00A35D1A" w:rsidP="00A35D1A">
            <w:pPr>
              <w:snapToGrid w:val="0"/>
              <w:spacing w:line="200" w:lineRule="atLeast"/>
              <w:ind w:leftChars="-20" w:left="-42"/>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人工及委外开发</w:t>
            </w:r>
          </w:p>
        </w:tc>
        <w:tc>
          <w:tcPr>
            <w:tcW w:w="831" w:type="pct"/>
            <w:shd w:val="clear" w:color="auto" w:fill="auto"/>
            <w:vAlign w:val="center"/>
            <w:hideMark/>
          </w:tcPr>
          <w:p w:rsidR="00A35D1A" w:rsidRPr="00EA612D" w:rsidRDefault="00A35D1A" w:rsidP="00A35D1A">
            <w:pPr>
              <w:snapToGrid w:val="0"/>
              <w:spacing w:line="200" w:lineRule="atLeast"/>
              <w:ind w:leftChars="-20" w:left="-42"/>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材料</w:t>
            </w:r>
          </w:p>
        </w:tc>
        <w:tc>
          <w:tcPr>
            <w:tcW w:w="1165" w:type="pct"/>
            <w:shd w:val="clear" w:color="auto" w:fill="auto"/>
            <w:vAlign w:val="center"/>
            <w:hideMark/>
          </w:tcPr>
          <w:p w:rsidR="00A35D1A" w:rsidRPr="00EA612D" w:rsidRDefault="00A35D1A" w:rsidP="00A35D1A">
            <w:pPr>
              <w:snapToGrid w:val="0"/>
              <w:spacing w:line="200" w:lineRule="atLeast"/>
              <w:ind w:leftChars="-20" w:left="-42"/>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其他</w:t>
            </w:r>
          </w:p>
        </w:tc>
        <w:tc>
          <w:tcPr>
            <w:tcW w:w="1027" w:type="pct"/>
            <w:vAlign w:val="center"/>
          </w:tcPr>
          <w:p w:rsidR="00A35D1A" w:rsidRPr="00EA612D" w:rsidRDefault="00A35D1A" w:rsidP="00A35D1A">
            <w:pPr>
              <w:snapToGrid w:val="0"/>
              <w:spacing w:line="200" w:lineRule="atLeast"/>
              <w:ind w:leftChars="-20" w:left="-42"/>
              <w:jc w:val="center"/>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合计</w:t>
            </w:r>
          </w:p>
        </w:tc>
      </w:tr>
      <w:tr w:rsidR="00835FFC" w:rsidRPr="00EA612D" w:rsidTr="00A35D1A">
        <w:trPr>
          <w:trHeight w:val="283"/>
        </w:trPr>
        <w:tc>
          <w:tcPr>
            <w:tcW w:w="895" w:type="pct"/>
            <w:shd w:val="clear" w:color="auto" w:fill="auto"/>
            <w:vAlign w:val="center"/>
          </w:tcPr>
          <w:p w:rsidR="00A35D1A" w:rsidRPr="00EA612D" w:rsidRDefault="00A35D1A" w:rsidP="00A35D1A">
            <w:pPr>
              <w:snapToGrid w:val="0"/>
              <w:spacing w:line="200" w:lineRule="atLeast"/>
              <w:ind w:leftChars="-20" w:left="-42"/>
              <w:jc w:val="lef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2015</w:t>
            </w:r>
            <w:r w:rsidRPr="00EA612D">
              <w:rPr>
                <w:rFonts w:ascii="Times New Roman" w:hAnsi="Times New Roman" w:cs="Times New Roman"/>
                <w:color w:val="000000" w:themeColor="text1"/>
                <w:sz w:val="16"/>
                <w:szCs w:val="16"/>
              </w:rPr>
              <w:t>年度</w:t>
            </w:r>
          </w:p>
        </w:tc>
        <w:tc>
          <w:tcPr>
            <w:tcW w:w="1081" w:type="pct"/>
            <w:shd w:val="clear" w:color="auto" w:fill="auto"/>
          </w:tcPr>
          <w:p w:rsidR="00A35D1A" w:rsidRPr="00EA612D" w:rsidRDefault="00A35D1A" w:rsidP="00A35D1A">
            <w:pPr>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 xml:space="preserve">17,829.64 </w:t>
            </w:r>
          </w:p>
        </w:tc>
        <w:tc>
          <w:tcPr>
            <w:tcW w:w="831" w:type="pct"/>
            <w:shd w:val="clear" w:color="auto" w:fill="auto"/>
          </w:tcPr>
          <w:p w:rsidR="00A35D1A" w:rsidRPr="00EA612D" w:rsidRDefault="00A35D1A" w:rsidP="00A35D1A">
            <w:pPr>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1,055.83</w:t>
            </w:r>
          </w:p>
        </w:tc>
        <w:tc>
          <w:tcPr>
            <w:tcW w:w="1165" w:type="pct"/>
            <w:shd w:val="clear" w:color="auto" w:fill="auto"/>
          </w:tcPr>
          <w:p w:rsidR="00A35D1A" w:rsidRPr="00EA612D" w:rsidRDefault="00A35D1A" w:rsidP="00A35D1A">
            <w:pPr>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 xml:space="preserve">6,072.13 </w:t>
            </w:r>
          </w:p>
        </w:tc>
        <w:tc>
          <w:tcPr>
            <w:tcW w:w="1027" w:type="pct"/>
            <w:vAlign w:val="bottom"/>
          </w:tcPr>
          <w:p w:rsidR="00A35D1A" w:rsidRPr="00EA612D" w:rsidRDefault="00A35D1A" w:rsidP="00A35D1A">
            <w:pPr>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24,957.60</w:t>
            </w:r>
          </w:p>
        </w:tc>
      </w:tr>
      <w:tr w:rsidR="00835FFC" w:rsidRPr="00EA612D" w:rsidTr="00A35D1A">
        <w:trPr>
          <w:trHeight w:val="283"/>
        </w:trPr>
        <w:tc>
          <w:tcPr>
            <w:tcW w:w="895" w:type="pct"/>
            <w:shd w:val="clear" w:color="auto" w:fill="auto"/>
            <w:vAlign w:val="center"/>
          </w:tcPr>
          <w:p w:rsidR="00A35D1A" w:rsidRPr="00EA612D" w:rsidRDefault="00A35D1A" w:rsidP="00A35D1A">
            <w:pPr>
              <w:snapToGrid w:val="0"/>
              <w:spacing w:line="200" w:lineRule="atLeast"/>
              <w:ind w:leftChars="-20" w:left="-42"/>
              <w:jc w:val="lef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2016</w:t>
            </w:r>
            <w:r w:rsidRPr="00EA612D">
              <w:rPr>
                <w:rFonts w:ascii="Times New Roman" w:hAnsi="Times New Roman" w:cs="Times New Roman"/>
                <w:color w:val="000000" w:themeColor="text1"/>
                <w:sz w:val="16"/>
                <w:szCs w:val="16"/>
              </w:rPr>
              <w:t>年度</w:t>
            </w:r>
          </w:p>
        </w:tc>
        <w:tc>
          <w:tcPr>
            <w:tcW w:w="1081" w:type="pct"/>
            <w:shd w:val="clear" w:color="auto" w:fill="auto"/>
          </w:tcPr>
          <w:p w:rsidR="00A35D1A" w:rsidRPr="00EA612D" w:rsidRDefault="00A35D1A" w:rsidP="00A35D1A">
            <w:pPr>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 xml:space="preserve">29,296.20 </w:t>
            </w:r>
          </w:p>
        </w:tc>
        <w:tc>
          <w:tcPr>
            <w:tcW w:w="831" w:type="pct"/>
            <w:shd w:val="clear" w:color="auto" w:fill="auto"/>
          </w:tcPr>
          <w:p w:rsidR="00A35D1A" w:rsidRPr="00EA612D" w:rsidRDefault="00A35D1A" w:rsidP="00A35D1A">
            <w:pPr>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1,932.29</w:t>
            </w:r>
          </w:p>
        </w:tc>
        <w:tc>
          <w:tcPr>
            <w:tcW w:w="1165" w:type="pct"/>
            <w:shd w:val="clear" w:color="auto" w:fill="auto"/>
          </w:tcPr>
          <w:p w:rsidR="00A35D1A" w:rsidRPr="00EA612D" w:rsidRDefault="00A35D1A" w:rsidP="00A35D1A">
            <w:pPr>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 xml:space="preserve">19,674.95 </w:t>
            </w:r>
          </w:p>
        </w:tc>
        <w:tc>
          <w:tcPr>
            <w:tcW w:w="1027" w:type="pct"/>
            <w:vAlign w:val="bottom"/>
          </w:tcPr>
          <w:p w:rsidR="00A35D1A" w:rsidRPr="00EA612D" w:rsidRDefault="00A35D1A" w:rsidP="00A35D1A">
            <w:pPr>
              <w:jc w:val="right"/>
              <w:rPr>
                <w:rFonts w:ascii="Times New Roman" w:hAnsi="Times New Roman" w:cs="Times New Roman"/>
                <w:color w:val="000000" w:themeColor="text1"/>
                <w:sz w:val="16"/>
                <w:szCs w:val="16"/>
              </w:rPr>
            </w:pPr>
            <w:r w:rsidRPr="00EA612D">
              <w:rPr>
                <w:rFonts w:ascii="Times New Roman" w:hAnsi="Times New Roman" w:cs="Times New Roman"/>
                <w:color w:val="000000" w:themeColor="text1"/>
                <w:sz w:val="16"/>
                <w:szCs w:val="16"/>
              </w:rPr>
              <w:t>50,903.44</w:t>
            </w:r>
          </w:p>
        </w:tc>
      </w:tr>
    </w:tbl>
    <w:p w:rsidR="00A35D1A" w:rsidRPr="00EA612D" w:rsidRDefault="0019511F" w:rsidP="00F663C7">
      <w:pPr>
        <w:spacing w:beforeLines="50" w:before="156" w:afterLines="50" w:after="156" w:line="360" w:lineRule="auto"/>
        <w:ind w:leftChars="50" w:left="105" w:rightChars="50" w:right="105" w:firstLineChars="200" w:firstLine="480"/>
        <w:rPr>
          <w:rFonts w:asciiTheme="minorEastAsia" w:hAnsiTheme="minorEastAsia" w:cs="Times New Roman"/>
          <w:color w:val="000000" w:themeColor="text1"/>
          <w:sz w:val="24"/>
          <w:szCs w:val="24"/>
        </w:rPr>
      </w:pPr>
      <w:r w:rsidRPr="00EA612D">
        <w:rPr>
          <w:rFonts w:asciiTheme="minorEastAsia" w:hAnsiTheme="minorEastAsia" w:cs="Times New Roman" w:hint="eastAsia"/>
          <w:color w:val="000000" w:themeColor="text1"/>
          <w:sz w:val="24"/>
          <w:szCs w:val="24"/>
        </w:rPr>
        <w:t>（2）</w:t>
      </w:r>
      <w:r w:rsidR="00A35D1A" w:rsidRPr="00EA612D">
        <w:rPr>
          <w:rFonts w:asciiTheme="minorEastAsia" w:hAnsiTheme="minorEastAsia" w:cs="Times New Roman"/>
          <w:color w:val="000000" w:themeColor="text1"/>
          <w:sz w:val="24"/>
          <w:szCs w:val="24"/>
        </w:rPr>
        <w:t>本期研究与开发费用大幅高于上期的原因和依据及合理性</w:t>
      </w:r>
    </w:p>
    <w:p w:rsidR="00A35D1A" w:rsidRPr="00EA612D" w:rsidRDefault="00A35D1A" w:rsidP="00F663C7">
      <w:pPr>
        <w:adjustRightInd w:val="0"/>
        <w:snapToGrid w:val="0"/>
        <w:spacing w:beforeLines="50" w:before="156" w:afterLines="50" w:after="156" w:line="360" w:lineRule="auto"/>
        <w:ind w:leftChars="50" w:left="105" w:rightChars="50" w:right="105" w:firstLineChars="200" w:firstLine="480"/>
        <w:rPr>
          <w:rFonts w:asciiTheme="minorEastAsia" w:hAnsiTheme="minorEastAsia" w:cs="Times New Roman"/>
          <w:color w:val="000000" w:themeColor="text1"/>
          <w:sz w:val="24"/>
          <w:szCs w:val="24"/>
        </w:rPr>
      </w:pPr>
      <w:r w:rsidRPr="00EA612D">
        <w:rPr>
          <w:rFonts w:asciiTheme="minorEastAsia" w:hAnsiTheme="minorEastAsia" w:cs="Times New Roman"/>
          <w:color w:val="000000" w:themeColor="text1"/>
          <w:sz w:val="24"/>
          <w:szCs w:val="24"/>
        </w:rPr>
        <w:t>公司本期研究与开发费用上升一是由于2016年度技术更新、项目投入技术要求的影响，公司无法完成项目立项时确定的收益情况及研发成果导致公司管理费用研究与开发费用上涨14,562.79万元；二是改变公司目前金融卡芯片市场劣势地位，积极拓展行业市场包括行业专网和行业消费无人机、车载终端市场等加大基础研发和预研类项目投入，研究与开发费用同比增加11,383.05万元。</w:t>
      </w:r>
    </w:p>
    <w:p w:rsidR="00A35D1A" w:rsidRPr="00EA612D" w:rsidRDefault="00AB1C71" w:rsidP="000E5405">
      <w:pPr>
        <w:pStyle w:val="a6"/>
        <w:numPr>
          <w:ilvl w:val="0"/>
          <w:numId w:val="21"/>
        </w:numPr>
        <w:tabs>
          <w:tab w:val="left" w:pos="851"/>
          <w:tab w:val="left" w:pos="993"/>
        </w:tabs>
        <w:adjustRightInd w:val="0"/>
        <w:snapToGrid w:val="0"/>
        <w:spacing w:beforeLines="50" w:before="156" w:afterLines="50" w:after="156" w:line="360" w:lineRule="auto"/>
        <w:ind w:leftChars="50" w:left="105" w:rightChars="50" w:right="105" w:firstLineChars="0" w:firstLine="560"/>
        <w:rPr>
          <w:rFonts w:asciiTheme="minorEastAsia" w:hAnsiTheme="minorEastAsia" w:cs="Times New Roman"/>
          <w:color w:val="000000" w:themeColor="text1"/>
          <w:sz w:val="24"/>
          <w:szCs w:val="24"/>
        </w:rPr>
      </w:pPr>
      <w:r w:rsidRPr="00EA612D">
        <w:rPr>
          <w:rFonts w:asciiTheme="minorEastAsia" w:hAnsiTheme="minorEastAsia" w:cs="Times New Roman" w:hint="eastAsia"/>
          <w:color w:val="000000" w:themeColor="text1"/>
          <w:sz w:val="24"/>
          <w:szCs w:val="24"/>
        </w:rPr>
        <w:t>Ⅰ</w:t>
      </w:r>
      <w:r w:rsidRPr="00EA612D">
        <w:rPr>
          <w:rFonts w:asciiTheme="minorEastAsia" w:hAnsiTheme="minorEastAsia" w:cs="Times New Roman"/>
          <w:color w:val="000000" w:themeColor="text1"/>
          <w:sz w:val="24"/>
          <w:szCs w:val="24"/>
        </w:rPr>
        <w:t>.</w:t>
      </w:r>
      <w:r w:rsidR="00A35D1A" w:rsidRPr="00EA612D">
        <w:rPr>
          <w:rFonts w:asciiTheme="minorEastAsia" w:hAnsiTheme="minorEastAsia" w:cs="Times New Roman"/>
          <w:color w:val="000000" w:themeColor="text1"/>
          <w:sz w:val="24"/>
          <w:szCs w:val="24"/>
        </w:rPr>
        <w:t>2016</w:t>
      </w:r>
      <w:r w:rsidR="00A35D1A" w:rsidRPr="00EA612D">
        <w:rPr>
          <w:rFonts w:asciiTheme="minorEastAsia" w:hAnsiTheme="minorEastAsia" w:cs="Times New Roman" w:hint="eastAsia"/>
          <w:color w:val="000000" w:themeColor="text1"/>
          <w:sz w:val="24"/>
          <w:szCs w:val="24"/>
        </w:rPr>
        <w:t>年度由于市场对多媒体应用处理器性能需求提升，导致低端</w:t>
      </w:r>
      <w:r w:rsidR="00A35D1A" w:rsidRPr="00EA612D">
        <w:rPr>
          <w:rFonts w:asciiTheme="minorEastAsia" w:hAnsiTheme="minorEastAsia" w:cs="Times New Roman" w:hint="eastAsia"/>
          <w:color w:val="000000" w:themeColor="text1"/>
          <w:sz w:val="24"/>
          <w:szCs w:val="24"/>
        </w:rPr>
        <w:lastRenderedPageBreak/>
        <w:t>平板电脑市场需求锐减，公司合作方在</w:t>
      </w:r>
      <w:r w:rsidR="00A35D1A" w:rsidRPr="00EA612D">
        <w:rPr>
          <w:rFonts w:asciiTheme="minorEastAsia" w:hAnsiTheme="minorEastAsia" w:cs="Times New Roman"/>
          <w:color w:val="000000" w:themeColor="text1"/>
          <w:sz w:val="24"/>
          <w:szCs w:val="24"/>
        </w:rPr>
        <w:t>2016</w:t>
      </w:r>
      <w:r w:rsidR="00A35D1A" w:rsidRPr="00EA612D">
        <w:rPr>
          <w:rFonts w:asciiTheme="minorEastAsia" w:hAnsiTheme="minorEastAsia" w:cs="Times New Roman" w:hint="eastAsia"/>
          <w:color w:val="000000" w:themeColor="text1"/>
          <w:sz w:val="24"/>
          <w:szCs w:val="24"/>
        </w:rPr>
        <w:t>年度明确终止对定位为低端平板电脑市场的</w:t>
      </w:r>
      <w:r w:rsidRPr="00EA612D">
        <w:rPr>
          <w:rFonts w:asciiTheme="minorEastAsia" w:hAnsiTheme="minorEastAsia" w:cs="Times New Roman" w:hint="eastAsia"/>
          <w:color w:val="000000" w:themeColor="text1"/>
          <w:sz w:val="24"/>
          <w:szCs w:val="24"/>
        </w:rPr>
        <w:t>项目投入，导致项目研发无法继续进行，公司也不存在继续研发能力。Ⅱ</w:t>
      </w:r>
      <w:r w:rsidRPr="00EA612D">
        <w:rPr>
          <w:rFonts w:asciiTheme="minorEastAsia" w:hAnsiTheme="minorEastAsia" w:cs="Times New Roman"/>
          <w:color w:val="000000" w:themeColor="text1"/>
          <w:sz w:val="24"/>
          <w:szCs w:val="24"/>
        </w:rPr>
        <w:t>.</w:t>
      </w:r>
      <w:r w:rsidR="00A35D1A" w:rsidRPr="00EA612D">
        <w:rPr>
          <w:rFonts w:asciiTheme="minorEastAsia" w:hAnsiTheme="minorEastAsia" w:cs="Times New Roman"/>
          <w:color w:val="000000" w:themeColor="text1"/>
          <w:sz w:val="24"/>
          <w:szCs w:val="24"/>
        </w:rPr>
        <w:t>2016</w:t>
      </w:r>
      <w:r w:rsidR="00A35D1A" w:rsidRPr="00EA612D">
        <w:rPr>
          <w:rFonts w:asciiTheme="minorEastAsia" w:hAnsiTheme="minorEastAsia" w:cs="Times New Roman" w:hint="eastAsia"/>
          <w:color w:val="000000" w:themeColor="text1"/>
          <w:sz w:val="24"/>
          <w:szCs w:val="24"/>
        </w:rPr>
        <w:t>年度受</w:t>
      </w:r>
      <w:r w:rsidR="00A35D1A" w:rsidRPr="00EA612D">
        <w:rPr>
          <w:rFonts w:asciiTheme="minorEastAsia" w:hAnsiTheme="minorEastAsia" w:cs="Times New Roman"/>
          <w:color w:val="000000" w:themeColor="text1"/>
          <w:sz w:val="24"/>
          <w:szCs w:val="24"/>
        </w:rPr>
        <w:t>28nm</w:t>
      </w:r>
      <w:r w:rsidR="00A35D1A" w:rsidRPr="00EA612D">
        <w:rPr>
          <w:rFonts w:asciiTheme="minorEastAsia" w:hAnsiTheme="minorEastAsia" w:cs="Times New Roman" w:hint="eastAsia"/>
          <w:color w:val="000000" w:themeColor="text1"/>
          <w:sz w:val="24"/>
          <w:szCs w:val="24"/>
        </w:rPr>
        <w:t>工艺已不具备充分的市场技术优势影响，公司为确保有限资源投入优势项目，消减劣势项目投入，人力和第三方技术资源投入未能有效按期保障，导致项目未能按照项目立项及可行性分析目标进行，导致公司产品开发进度落后于市场窗口节点，项目继续研发形成的研发成果将错过进入市场的最佳时期</w:t>
      </w:r>
      <w:r w:rsidRPr="00EA612D">
        <w:rPr>
          <w:rFonts w:asciiTheme="minorEastAsia" w:hAnsiTheme="minorEastAsia" w:cs="Times New Roman" w:hint="eastAsia"/>
          <w:color w:val="000000" w:themeColor="text1"/>
          <w:sz w:val="24"/>
          <w:szCs w:val="24"/>
        </w:rPr>
        <w:t>。Ⅲ</w:t>
      </w:r>
      <w:r w:rsidRPr="00EA612D">
        <w:rPr>
          <w:rFonts w:asciiTheme="minorEastAsia" w:hAnsiTheme="minorEastAsia" w:cs="Times New Roman"/>
          <w:color w:val="000000" w:themeColor="text1"/>
          <w:sz w:val="24"/>
          <w:szCs w:val="24"/>
        </w:rPr>
        <w:t>.</w:t>
      </w:r>
      <w:r w:rsidR="00A35D1A" w:rsidRPr="00EA612D">
        <w:rPr>
          <w:rFonts w:asciiTheme="minorEastAsia" w:hAnsiTheme="minorEastAsia" w:cs="Times New Roman"/>
          <w:color w:val="000000" w:themeColor="text1"/>
          <w:sz w:val="24"/>
          <w:szCs w:val="24"/>
        </w:rPr>
        <w:t>2016</w:t>
      </w:r>
      <w:r w:rsidR="00A35D1A" w:rsidRPr="00EA612D">
        <w:rPr>
          <w:rFonts w:asciiTheme="minorEastAsia" w:hAnsiTheme="minorEastAsia" w:cs="Times New Roman" w:hint="eastAsia"/>
          <w:color w:val="000000" w:themeColor="text1"/>
          <w:sz w:val="24"/>
          <w:szCs w:val="24"/>
        </w:rPr>
        <w:t>年度受移动支付市场应用方案快速变化的影响，运营</w:t>
      </w:r>
      <w:proofErr w:type="gramStart"/>
      <w:r w:rsidR="00A35D1A" w:rsidRPr="00EA612D">
        <w:rPr>
          <w:rFonts w:asciiTheme="minorEastAsia" w:hAnsiTheme="minorEastAsia" w:cs="Times New Roman" w:hint="eastAsia"/>
          <w:color w:val="000000" w:themeColor="text1"/>
          <w:sz w:val="24"/>
          <w:szCs w:val="24"/>
        </w:rPr>
        <w:t>商方案</w:t>
      </w:r>
      <w:proofErr w:type="gramEnd"/>
      <w:r w:rsidR="00A35D1A" w:rsidRPr="00EA612D">
        <w:rPr>
          <w:rFonts w:asciiTheme="minorEastAsia" w:hAnsiTheme="minorEastAsia" w:cs="Times New Roman" w:hint="eastAsia"/>
          <w:color w:val="000000" w:themeColor="text1"/>
          <w:sz w:val="24"/>
          <w:szCs w:val="24"/>
        </w:rPr>
        <w:t>市场未达到市场预期</w:t>
      </w:r>
      <w:r w:rsidR="003104C9" w:rsidRPr="00EA612D">
        <w:rPr>
          <w:rFonts w:asciiTheme="minorEastAsia" w:hAnsiTheme="minorEastAsia" w:cs="Times New Roman" w:hint="eastAsia"/>
          <w:color w:val="000000" w:themeColor="text1"/>
          <w:sz w:val="24"/>
          <w:szCs w:val="24"/>
        </w:rPr>
        <w:t>；虽该项目已完成了支持SWP接口移动支付安全芯片研发工作，但在功耗管理、存贮器管理方面与移动终端方案不匹配；2016年度未能按照可行性分析要求通过小批量验证节点。</w:t>
      </w:r>
      <w:r w:rsidR="00A35D1A" w:rsidRPr="00EA612D">
        <w:rPr>
          <w:rFonts w:asciiTheme="minorEastAsia" w:hAnsiTheme="minorEastAsia" w:cs="Times New Roman" w:hint="eastAsia"/>
          <w:color w:val="000000" w:themeColor="text1"/>
          <w:sz w:val="24"/>
          <w:szCs w:val="24"/>
        </w:rPr>
        <w:t>上述影响使公司</w:t>
      </w:r>
      <w:r w:rsidR="00A35D1A" w:rsidRPr="00EA612D">
        <w:rPr>
          <w:rFonts w:asciiTheme="minorEastAsia" w:hAnsiTheme="minorEastAsia" w:cs="Times New Roman"/>
          <w:color w:val="000000" w:themeColor="text1"/>
          <w:sz w:val="24"/>
          <w:szCs w:val="24"/>
        </w:rPr>
        <w:t>L1860A</w:t>
      </w:r>
      <w:r w:rsidR="00A35D1A" w:rsidRPr="00EA612D">
        <w:rPr>
          <w:rFonts w:asciiTheme="minorEastAsia" w:hAnsiTheme="minorEastAsia" w:cs="Times New Roman" w:hint="eastAsia"/>
          <w:color w:val="000000" w:themeColor="text1"/>
          <w:sz w:val="24"/>
          <w:szCs w:val="24"/>
        </w:rPr>
        <w:t>项目、</w:t>
      </w:r>
      <w:r w:rsidR="00A35D1A" w:rsidRPr="00EA612D">
        <w:rPr>
          <w:rFonts w:asciiTheme="minorEastAsia" w:hAnsiTheme="minorEastAsia" w:cs="Times New Roman"/>
          <w:color w:val="000000" w:themeColor="text1"/>
          <w:sz w:val="24"/>
          <w:szCs w:val="24"/>
        </w:rPr>
        <w:t>L1762</w:t>
      </w:r>
      <w:r w:rsidR="00A35D1A" w:rsidRPr="00EA612D">
        <w:rPr>
          <w:rFonts w:asciiTheme="minorEastAsia" w:hAnsiTheme="minorEastAsia" w:cs="Times New Roman" w:hint="eastAsia"/>
          <w:color w:val="000000" w:themeColor="text1"/>
          <w:sz w:val="24"/>
          <w:szCs w:val="24"/>
        </w:rPr>
        <w:t>项目、</w:t>
      </w:r>
      <w:r w:rsidR="00A35D1A" w:rsidRPr="00EA612D">
        <w:rPr>
          <w:rFonts w:asciiTheme="minorEastAsia" w:hAnsiTheme="minorEastAsia" w:cs="Times New Roman"/>
          <w:color w:val="000000" w:themeColor="text1"/>
          <w:sz w:val="24"/>
          <w:szCs w:val="24"/>
        </w:rPr>
        <w:t>Olive</w:t>
      </w:r>
      <w:r w:rsidR="00A35D1A" w:rsidRPr="00EA612D">
        <w:rPr>
          <w:rFonts w:asciiTheme="minorEastAsia" w:hAnsiTheme="minorEastAsia" w:cs="Times New Roman" w:hint="eastAsia"/>
          <w:color w:val="000000" w:themeColor="text1"/>
          <w:sz w:val="24"/>
          <w:szCs w:val="24"/>
        </w:rPr>
        <w:t>项目等无法给公司带来经济利益的流入，</w:t>
      </w:r>
      <w:r w:rsidR="000E7A1B" w:rsidRPr="00EA612D">
        <w:rPr>
          <w:rFonts w:asciiTheme="minorEastAsia" w:hAnsiTheme="minorEastAsia" w:cs="Times New Roman" w:hint="eastAsia"/>
          <w:color w:val="000000" w:themeColor="text1"/>
          <w:sz w:val="24"/>
          <w:szCs w:val="24"/>
        </w:rPr>
        <w:t>原在开发支出列示的支出转入研究与开发费用，</w:t>
      </w:r>
      <w:r w:rsidR="00A35D1A" w:rsidRPr="00EA612D">
        <w:rPr>
          <w:rFonts w:asciiTheme="minorEastAsia" w:hAnsiTheme="minorEastAsia" w:cs="Times New Roman" w:hint="eastAsia"/>
          <w:color w:val="000000" w:themeColor="text1"/>
          <w:sz w:val="24"/>
          <w:szCs w:val="24"/>
        </w:rPr>
        <w:t>导致研究与开发费用增加</w:t>
      </w:r>
      <w:r w:rsidR="00A35D1A" w:rsidRPr="00EA612D">
        <w:rPr>
          <w:rFonts w:asciiTheme="minorEastAsia" w:hAnsiTheme="minorEastAsia" w:cs="Times New Roman"/>
          <w:color w:val="000000" w:themeColor="text1"/>
          <w:sz w:val="24"/>
          <w:szCs w:val="24"/>
        </w:rPr>
        <w:t>14,562.79</w:t>
      </w:r>
      <w:r w:rsidR="00A35D1A" w:rsidRPr="00EA612D">
        <w:rPr>
          <w:rFonts w:asciiTheme="minorEastAsia" w:hAnsiTheme="minorEastAsia" w:cs="Times New Roman" w:hint="eastAsia"/>
          <w:color w:val="000000" w:themeColor="text1"/>
          <w:sz w:val="24"/>
          <w:szCs w:val="24"/>
        </w:rPr>
        <w:t>万元</w:t>
      </w:r>
      <w:r w:rsidR="00BA7EF3" w:rsidRPr="00EA612D">
        <w:rPr>
          <w:rFonts w:asciiTheme="minorEastAsia" w:hAnsiTheme="minorEastAsia" w:cs="Times New Roman" w:hint="eastAsia"/>
          <w:color w:val="000000" w:themeColor="text1"/>
          <w:sz w:val="24"/>
          <w:szCs w:val="24"/>
        </w:rPr>
        <w:t>。</w:t>
      </w:r>
    </w:p>
    <w:p w:rsidR="00A35D1A" w:rsidRPr="00EA612D" w:rsidRDefault="00A35D1A" w:rsidP="00F663C7">
      <w:pPr>
        <w:pStyle w:val="a6"/>
        <w:numPr>
          <w:ilvl w:val="0"/>
          <w:numId w:val="21"/>
        </w:numPr>
        <w:adjustRightInd w:val="0"/>
        <w:snapToGrid w:val="0"/>
        <w:spacing w:beforeLines="50" w:before="156" w:afterLines="50" w:after="156" w:line="360" w:lineRule="auto"/>
        <w:ind w:leftChars="50" w:left="105" w:rightChars="50" w:right="105" w:firstLineChars="0" w:firstLine="420"/>
        <w:rPr>
          <w:rFonts w:asciiTheme="minorEastAsia" w:hAnsiTheme="minorEastAsia" w:cs="Times New Roman"/>
          <w:color w:val="000000" w:themeColor="text1"/>
          <w:sz w:val="24"/>
          <w:szCs w:val="24"/>
        </w:rPr>
      </w:pPr>
      <w:r w:rsidRPr="00EA612D">
        <w:rPr>
          <w:rFonts w:asciiTheme="minorEastAsia" w:hAnsiTheme="minorEastAsia" w:cs="Times New Roman"/>
          <w:color w:val="000000" w:themeColor="text1"/>
          <w:sz w:val="24"/>
          <w:szCs w:val="24"/>
        </w:rPr>
        <w:t>2016年度公司加大基础研发和预研类项目投入并伴随着研发投入较大的人工成本增长，</w:t>
      </w:r>
      <w:r w:rsidR="00444EAF" w:rsidRPr="00EA612D">
        <w:rPr>
          <w:rFonts w:asciiTheme="minorEastAsia" w:hAnsiTheme="minorEastAsia" w:cs="Times New Roman" w:hint="eastAsia"/>
          <w:color w:val="000000" w:themeColor="text1"/>
          <w:sz w:val="24"/>
          <w:szCs w:val="24"/>
        </w:rPr>
        <w:t>预研类项目同比增加</w:t>
      </w:r>
      <w:r w:rsidR="00335CF9" w:rsidRPr="00EA612D">
        <w:rPr>
          <w:rFonts w:asciiTheme="minorEastAsia" w:hAnsiTheme="minorEastAsia" w:cs="Times New Roman" w:hint="eastAsia"/>
          <w:color w:val="000000" w:themeColor="text1"/>
          <w:sz w:val="24"/>
          <w:szCs w:val="24"/>
        </w:rPr>
        <w:t>2,793</w:t>
      </w:r>
      <w:r w:rsidR="00845AF9" w:rsidRPr="00EA612D">
        <w:rPr>
          <w:rFonts w:asciiTheme="minorEastAsia" w:hAnsiTheme="minorEastAsia" w:cs="Times New Roman" w:hint="eastAsia"/>
          <w:color w:val="000000" w:themeColor="text1"/>
          <w:sz w:val="24"/>
          <w:szCs w:val="24"/>
        </w:rPr>
        <w:t>.00</w:t>
      </w:r>
      <w:r w:rsidR="00444EAF" w:rsidRPr="00EA612D">
        <w:rPr>
          <w:rFonts w:asciiTheme="minorEastAsia" w:hAnsiTheme="minorEastAsia" w:cs="Times New Roman" w:hint="eastAsia"/>
          <w:color w:val="000000" w:themeColor="text1"/>
          <w:sz w:val="24"/>
          <w:szCs w:val="24"/>
        </w:rPr>
        <w:t>万</w:t>
      </w:r>
      <w:r w:rsidR="00335CF9" w:rsidRPr="00EA612D">
        <w:rPr>
          <w:rFonts w:asciiTheme="minorEastAsia" w:hAnsiTheme="minorEastAsia" w:cs="Times New Roman" w:hint="eastAsia"/>
          <w:color w:val="000000" w:themeColor="text1"/>
          <w:sz w:val="24"/>
          <w:szCs w:val="24"/>
        </w:rPr>
        <w:t>元</w:t>
      </w:r>
      <w:r w:rsidR="00444EAF" w:rsidRPr="00EA612D">
        <w:rPr>
          <w:rFonts w:asciiTheme="minorEastAsia" w:hAnsiTheme="minorEastAsia" w:cs="Times New Roman" w:hint="eastAsia"/>
          <w:color w:val="000000" w:themeColor="text1"/>
          <w:sz w:val="24"/>
          <w:szCs w:val="24"/>
        </w:rPr>
        <w:t>，基础技术投入同比增加</w:t>
      </w:r>
      <w:r w:rsidR="00335CF9" w:rsidRPr="00EA612D">
        <w:rPr>
          <w:rFonts w:asciiTheme="minorEastAsia" w:hAnsiTheme="minorEastAsia" w:cs="Times New Roman" w:hint="eastAsia"/>
          <w:color w:val="000000" w:themeColor="text1"/>
          <w:sz w:val="24"/>
          <w:szCs w:val="24"/>
        </w:rPr>
        <w:t>8,590</w:t>
      </w:r>
      <w:r w:rsidR="00845AF9" w:rsidRPr="00EA612D">
        <w:rPr>
          <w:rFonts w:asciiTheme="minorEastAsia" w:hAnsiTheme="minorEastAsia" w:cs="Times New Roman" w:hint="eastAsia"/>
          <w:color w:val="000000" w:themeColor="text1"/>
          <w:sz w:val="24"/>
          <w:szCs w:val="24"/>
        </w:rPr>
        <w:t>.05</w:t>
      </w:r>
      <w:r w:rsidR="00444EAF" w:rsidRPr="00EA612D">
        <w:rPr>
          <w:rFonts w:asciiTheme="minorEastAsia" w:hAnsiTheme="minorEastAsia" w:cs="Times New Roman" w:hint="eastAsia"/>
          <w:color w:val="000000" w:themeColor="text1"/>
          <w:sz w:val="24"/>
          <w:szCs w:val="24"/>
        </w:rPr>
        <w:t>万元，</w:t>
      </w:r>
      <w:r w:rsidRPr="00EA612D">
        <w:rPr>
          <w:rFonts w:asciiTheme="minorEastAsia" w:hAnsiTheme="minorEastAsia" w:cs="Times New Roman"/>
          <w:color w:val="000000" w:themeColor="text1"/>
          <w:sz w:val="24"/>
          <w:szCs w:val="24"/>
        </w:rPr>
        <w:t>公司研究与开发费用同比增加11,383.05万元，公司严格按照企业会计准则的要求，确定好相关费用支出是否属于研发项目的支出，对新增研发项目进行预算审核、项目立项审核、项目专家组讨论、项目分析等，通过审批形式确定好项目是否需要继续，并按月监督研发与开发费用合理性。</w:t>
      </w:r>
    </w:p>
    <w:p w:rsidR="00A35D1A" w:rsidRPr="00EA612D" w:rsidRDefault="00A35D1A" w:rsidP="00F663C7">
      <w:pPr>
        <w:spacing w:beforeLines="50" w:before="156" w:afterLines="50" w:after="156" w:line="360" w:lineRule="auto"/>
        <w:ind w:leftChars="50" w:left="105" w:rightChars="50" w:right="105" w:firstLineChars="200" w:firstLine="482"/>
        <w:rPr>
          <w:rStyle w:val="a5"/>
          <w:rFonts w:asciiTheme="minorEastAsia" w:hAnsiTheme="minorEastAsia" w:cs="Times New Roman"/>
          <w:color w:val="000000" w:themeColor="text1"/>
          <w:sz w:val="24"/>
          <w:szCs w:val="24"/>
        </w:rPr>
      </w:pPr>
      <w:r w:rsidRPr="00EA612D">
        <w:rPr>
          <w:rStyle w:val="a5"/>
          <w:rFonts w:asciiTheme="minorEastAsia" w:hAnsiTheme="minorEastAsia" w:cs="Times New Roman"/>
          <w:color w:val="000000" w:themeColor="text1"/>
          <w:sz w:val="24"/>
          <w:szCs w:val="24"/>
        </w:rPr>
        <w:t>会计师意见：</w:t>
      </w:r>
    </w:p>
    <w:p w:rsidR="00A35D1A" w:rsidRPr="00EA612D" w:rsidRDefault="00D8029F" w:rsidP="005C5DAF">
      <w:pPr>
        <w:spacing w:beforeLines="50" w:before="156" w:afterLines="50" w:after="156" w:line="360" w:lineRule="auto"/>
        <w:ind w:leftChars="50" w:left="105" w:rightChars="50" w:right="105" w:firstLineChars="200" w:firstLine="480"/>
        <w:jc w:val="left"/>
        <w:rPr>
          <w:rStyle w:val="a5"/>
          <w:rFonts w:asciiTheme="minorEastAsia" w:hAnsiTheme="minorEastAsia" w:cs="Times New Roman"/>
          <w:b w:val="0"/>
          <w:color w:val="000000" w:themeColor="text1"/>
          <w:sz w:val="24"/>
          <w:szCs w:val="24"/>
        </w:rPr>
      </w:pPr>
      <w:r w:rsidRPr="00EA612D">
        <w:rPr>
          <w:rStyle w:val="a5"/>
          <w:rFonts w:asciiTheme="minorEastAsia" w:hAnsiTheme="minorEastAsia" w:cs="Times New Roman" w:hint="eastAsia"/>
          <w:b w:val="0"/>
          <w:color w:val="000000" w:themeColor="text1"/>
          <w:sz w:val="24"/>
          <w:szCs w:val="24"/>
        </w:rPr>
        <w:t>我们获取了公司研发费用资本化和费用化划分的依据，索取相关项目可行性研究报告、项目立项建议书等项目资料，评价了公司对资本化项目能否给企业带来收益、公司是否存在继续研发能力、相关的技术成果能否使用或者出售、相关成本能否可靠计量的判断，了解公司的开发目的，并获取相关审批资料。我们认为：公司本期确认研究与开发费用</w:t>
      </w:r>
      <w:r w:rsidRPr="00EA612D">
        <w:rPr>
          <w:rStyle w:val="a5"/>
          <w:rFonts w:asciiTheme="minorEastAsia" w:hAnsiTheme="minorEastAsia" w:cs="Times New Roman"/>
          <w:b w:val="0"/>
          <w:color w:val="000000" w:themeColor="text1"/>
          <w:sz w:val="24"/>
          <w:szCs w:val="24"/>
        </w:rPr>
        <w:t>50,903.44万元，符合公司实际情况及企业会计准则的规定。</w:t>
      </w:r>
    </w:p>
    <w:p w:rsidR="00A35D1A" w:rsidRPr="00EA612D" w:rsidRDefault="00A35D1A" w:rsidP="005C5DAF">
      <w:pPr>
        <w:spacing w:beforeLines="50" w:before="156" w:afterLines="50" w:after="156" w:line="360" w:lineRule="auto"/>
        <w:ind w:leftChars="50" w:left="105" w:rightChars="50" w:right="105" w:firstLineChars="200" w:firstLine="482"/>
        <w:jc w:val="left"/>
        <w:rPr>
          <w:rStyle w:val="a5"/>
          <w:rFonts w:asciiTheme="minorEastAsia" w:hAnsiTheme="minorEastAsia" w:cs="Times New Roman"/>
          <w:color w:val="000000" w:themeColor="text1"/>
          <w:sz w:val="24"/>
          <w:szCs w:val="24"/>
        </w:rPr>
      </w:pPr>
      <w:r w:rsidRPr="00EA612D">
        <w:rPr>
          <w:rStyle w:val="a5"/>
          <w:rFonts w:asciiTheme="minorEastAsia" w:hAnsiTheme="minorEastAsia" w:cs="Times New Roman"/>
          <w:color w:val="000000" w:themeColor="text1"/>
          <w:sz w:val="24"/>
          <w:szCs w:val="24"/>
        </w:rPr>
        <w:t>8.资产摊销。年报披露，公司本期确认资产摊销3.14亿元，比上年同期增加 1.4 亿元。请公司补充披露确认资产摊销的具体情况，本期确认费用大</w:t>
      </w:r>
      <w:r w:rsidRPr="00EA612D">
        <w:rPr>
          <w:rStyle w:val="a5"/>
          <w:rFonts w:asciiTheme="minorEastAsia" w:hAnsiTheme="minorEastAsia" w:cs="Times New Roman"/>
          <w:color w:val="000000" w:themeColor="text1"/>
          <w:sz w:val="24"/>
          <w:szCs w:val="24"/>
        </w:rPr>
        <w:lastRenderedPageBreak/>
        <w:t>幅高于上期的原因、依据及合理性。请会计师核查并发表意见。</w:t>
      </w:r>
    </w:p>
    <w:p w:rsidR="00A35D1A" w:rsidRPr="00EA612D" w:rsidRDefault="00A35D1A" w:rsidP="00F663C7">
      <w:pPr>
        <w:spacing w:beforeLines="50" w:before="156" w:afterLines="50" w:after="156" w:line="360" w:lineRule="auto"/>
        <w:ind w:leftChars="50" w:left="105" w:rightChars="50" w:right="105" w:firstLineChars="200" w:firstLine="482"/>
        <w:rPr>
          <w:rStyle w:val="a5"/>
          <w:rFonts w:asciiTheme="minorEastAsia" w:hAnsiTheme="minorEastAsia" w:cs="Times New Roman"/>
          <w:color w:val="000000" w:themeColor="text1"/>
          <w:sz w:val="24"/>
          <w:szCs w:val="24"/>
        </w:rPr>
      </w:pPr>
      <w:r w:rsidRPr="00EA612D">
        <w:rPr>
          <w:rStyle w:val="a5"/>
          <w:rFonts w:asciiTheme="minorEastAsia" w:hAnsiTheme="minorEastAsia" w:cs="Times New Roman"/>
          <w:color w:val="000000" w:themeColor="text1"/>
          <w:sz w:val="24"/>
          <w:szCs w:val="24"/>
        </w:rPr>
        <w:t>公司回复：</w:t>
      </w:r>
    </w:p>
    <w:p w:rsidR="00A35D1A" w:rsidRPr="00EA612D" w:rsidRDefault="0019511F" w:rsidP="00F663C7">
      <w:pPr>
        <w:spacing w:beforeLines="50" w:before="156" w:afterLines="50" w:after="156" w:line="360" w:lineRule="auto"/>
        <w:ind w:leftChars="50" w:left="105" w:rightChars="50" w:right="105" w:firstLineChars="200" w:firstLine="480"/>
        <w:jc w:val="left"/>
        <w:rPr>
          <w:rStyle w:val="a5"/>
          <w:rFonts w:asciiTheme="minorEastAsia" w:hAnsiTheme="minorEastAsia" w:cs="Times New Roman"/>
          <w:b w:val="0"/>
          <w:color w:val="000000" w:themeColor="text1"/>
          <w:sz w:val="24"/>
          <w:szCs w:val="24"/>
        </w:rPr>
      </w:pPr>
      <w:r w:rsidRPr="00EA612D">
        <w:rPr>
          <w:rStyle w:val="a5"/>
          <w:rFonts w:asciiTheme="minorEastAsia" w:hAnsiTheme="minorEastAsia" w:cs="Times New Roman" w:hint="eastAsia"/>
          <w:b w:val="0"/>
          <w:color w:val="000000" w:themeColor="text1"/>
          <w:sz w:val="24"/>
          <w:szCs w:val="24"/>
        </w:rPr>
        <w:t>（1）</w:t>
      </w:r>
      <w:r w:rsidR="00A35D1A" w:rsidRPr="00EA612D">
        <w:rPr>
          <w:rStyle w:val="a5"/>
          <w:rFonts w:asciiTheme="minorEastAsia" w:hAnsiTheme="minorEastAsia" w:cs="Times New Roman"/>
          <w:b w:val="0"/>
          <w:color w:val="000000" w:themeColor="text1"/>
          <w:sz w:val="24"/>
          <w:szCs w:val="24"/>
        </w:rPr>
        <w:t>公司补充披露确认资产摊销的具体情况</w:t>
      </w:r>
    </w:p>
    <w:p w:rsidR="00A35D1A" w:rsidRPr="00EA612D" w:rsidRDefault="00A35D1A" w:rsidP="00F663C7">
      <w:pPr>
        <w:spacing w:beforeLines="50" w:before="156" w:afterLines="50" w:after="156" w:line="360" w:lineRule="auto"/>
        <w:ind w:leftChars="50" w:left="105" w:rightChars="50" w:right="105" w:firstLineChars="200" w:firstLine="480"/>
        <w:rPr>
          <w:rFonts w:asciiTheme="minorEastAsia" w:hAnsiTheme="minorEastAsia" w:cs="Times New Roman"/>
          <w:color w:val="000000" w:themeColor="text1"/>
          <w:sz w:val="24"/>
          <w:szCs w:val="24"/>
        </w:rPr>
      </w:pPr>
      <w:r w:rsidRPr="00EA612D">
        <w:rPr>
          <w:rFonts w:asciiTheme="minorEastAsia" w:hAnsiTheme="minorEastAsia" w:cs="Times New Roman"/>
          <w:color w:val="000000" w:themeColor="text1"/>
          <w:sz w:val="24"/>
          <w:szCs w:val="24"/>
        </w:rPr>
        <w:t>公司核算的无形资产均为使用寿命有限的，在带来经济利益的期限内按直线法摊销。公司无形资产的分类及摊销政策如下：</w:t>
      </w:r>
    </w:p>
    <w:tbl>
      <w:tblPr>
        <w:tblStyle w:val="g3"/>
        <w:tblW w:w="5000" w:type="pct"/>
        <w:tblInd w:w="108" w:type="dxa"/>
        <w:tblBorders>
          <w:top w:val="single" w:sz="12" w:space="0" w:color="auto"/>
          <w:bottom w:val="single" w:sz="12" w:space="0" w:color="auto"/>
          <w:insideH w:val="dotted" w:sz="4" w:space="0" w:color="auto"/>
          <w:insideV w:val="dotted" w:sz="4" w:space="0" w:color="auto"/>
        </w:tblBorders>
        <w:tblCellMar>
          <w:top w:w="28" w:type="dxa"/>
          <w:bottom w:w="28" w:type="dxa"/>
        </w:tblCellMar>
        <w:tblLook w:val="0000" w:firstRow="0" w:lastRow="0" w:firstColumn="0" w:lastColumn="0" w:noHBand="0" w:noVBand="0"/>
      </w:tblPr>
      <w:tblGrid>
        <w:gridCol w:w="3260"/>
        <w:gridCol w:w="2107"/>
        <w:gridCol w:w="3155"/>
      </w:tblGrid>
      <w:tr w:rsidR="00835FFC" w:rsidRPr="00EA612D" w:rsidTr="00A35D1A">
        <w:trPr>
          <w:trHeight w:val="284"/>
        </w:trPr>
        <w:tc>
          <w:tcPr>
            <w:tcW w:w="1913" w:type="pct"/>
            <w:noWrap/>
            <w:vAlign w:val="center"/>
          </w:tcPr>
          <w:p w:rsidR="00A35D1A" w:rsidRPr="00EA612D" w:rsidRDefault="00A35D1A" w:rsidP="00A35D1A">
            <w:pPr>
              <w:tabs>
                <w:tab w:val="left" w:pos="0"/>
              </w:tabs>
              <w:adjustRightInd w:val="0"/>
              <w:snapToGrid w:val="0"/>
              <w:spacing w:line="200" w:lineRule="atLeast"/>
              <w:jc w:val="center"/>
              <w:rPr>
                <w:rFonts w:ascii="Times New Roman" w:hAnsi="Times New Roman"/>
                <w:color w:val="000000" w:themeColor="text1"/>
                <w:sz w:val="16"/>
                <w:szCs w:val="16"/>
              </w:rPr>
            </w:pPr>
            <w:r w:rsidRPr="00EA612D">
              <w:rPr>
                <w:rFonts w:ascii="Times New Roman" w:hAnsi="Times New Roman"/>
                <w:color w:val="000000" w:themeColor="text1"/>
                <w:sz w:val="16"/>
                <w:szCs w:val="16"/>
              </w:rPr>
              <w:t>项　目</w:t>
            </w:r>
          </w:p>
        </w:tc>
        <w:tc>
          <w:tcPr>
            <w:tcW w:w="1236" w:type="pct"/>
            <w:noWrap/>
            <w:vAlign w:val="center"/>
          </w:tcPr>
          <w:p w:rsidR="00A35D1A" w:rsidRPr="00EA612D" w:rsidRDefault="00A35D1A" w:rsidP="00A35D1A">
            <w:pPr>
              <w:tabs>
                <w:tab w:val="left" w:pos="0"/>
              </w:tabs>
              <w:adjustRightInd w:val="0"/>
              <w:snapToGrid w:val="0"/>
              <w:spacing w:line="200" w:lineRule="atLeast"/>
              <w:jc w:val="center"/>
              <w:rPr>
                <w:rFonts w:ascii="Times New Roman" w:hAnsi="Times New Roman"/>
                <w:color w:val="000000" w:themeColor="text1"/>
                <w:sz w:val="16"/>
                <w:szCs w:val="16"/>
              </w:rPr>
            </w:pPr>
            <w:r w:rsidRPr="00EA612D">
              <w:rPr>
                <w:rFonts w:ascii="Times New Roman" w:hAnsi="Times New Roman"/>
                <w:color w:val="000000" w:themeColor="text1"/>
                <w:sz w:val="16"/>
                <w:szCs w:val="16"/>
              </w:rPr>
              <w:t>预计使用寿命（年）</w:t>
            </w:r>
          </w:p>
        </w:tc>
        <w:tc>
          <w:tcPr>
            <w:tcW w:w="1852" w:type="pct"/>
            <w:noWrap/>
            <w:vAlign w:val="center"/>
          </w:tcPr>
          <w:p w:rsidR="00A35D1A" w:rsidRPr="00EA612D" w:rsidRDefault="00A35D1A" w:rsidP="00A35D1A">
            <w:pPr>
              <w:tabs>
                <w:tab w:val="left" w:pos="0"/>
              </w:tabs>
              <w:adjustRightInd w:val="0"/>
              <w:snapToGrid w:val="0"/>
              <w:spacing w:line="200" w:lineRule="atLeast"/>
              <w:jc w:val="center"/>
              <w:rPr>
                <w:rFonts w:ascii="Times New Roman" w:hAnsi="Times New Roman"/>
                <w:color w:val="000000" w:themeColor="text1"/>
                <w:sz w:val="16"/>
                <w:szCs w:val="16"/>
              </w:rPr>
            </w:pPr>
            <w:r w:rsidRPr="00EA612D">
              <w:rPr>
                <w:rFonts w:ascii="Times New Roman" w:hAnsi="Times New Roman"/>
                <w:color w:val="000000" w:themeColor="text1"/>
                <w:sz w:val="16"/>
                <w:szCs w:val="16"/>
              </w:rPr>
              <w:t>依据</w:t>
            </w:r>
          </w:p>
        </w:tc>
      </w:tr>
      <w:tr w:rsidR="00835FFC" w:rsidRPr="00EA612D" w:rsidTr="00A35D1A">
        <w:trPr>
          <w:trHeight w:val="284"/>
        </w:trPr>
        <w:tc>
          <w:tcPr>
            <w:tcW w:w="1913" w:type="pct"/>
            <w:vAlign w:val="center"/>
          </w:tcPr>
          <w:p w:rsidR="00A35D1A" w:rsidRPr="00EA612D" w:rsidRDefault="00A35D1A" w:rsidP="00A35D1A">
            <w:pPr>
              <w:tabs>
                <w:tab w:val="left" w:pos="0"/>
              </w:tabs>
              <w:adjustRightInd w:val="0"/>
              <w:snapToGrid w:val="0"/>
              <w:spacing w:line="200" w:lineRule="atLeast"/>
              <w:rPr>
                <w:rFonts w:ascii="Times New Roman" w:hAnsi="Times New Roman"/>
                <w:color w:val="000000" w:themeColor="text1"/>
                <w:sz w:val="16"/>
                <w:szCs w:val="16"/>
              </w:rPr>
            </w:pPr>
            <w:r w:rsidRPr="00EA612D">
              <w:rPr>
                <w:rFonts w:ascii="Times New Roman" w:hAnsi="Times New Roman"/>
                <w:color w:val="000000" w:themeColor="text1"/>
                <w:sz w:val="16"/>
                <w:szCs w:val="16"/>
              </w:rPr>
              <w:t>土地使用权</w:t>
            </w:r>
          </w:p>
        </w:tc>
        <w:tc>
          <w:tcPr>
            <w:tcW w:w="1236" w:type="pct"/>
            <w:noWrap/>
            <w:vAlign w:val="center"/>
          </w:tcPr>
          <w:p w:rsidR="00A35D1A" w:rsidRPr="00EA612D" w:rsidRDefault="00A35D1A" w:rsidP="00A35D1A">
            <w:pPr>
              <w:tabs>
                <w:tab w:val="left" w:pos="0"/>
              </w:tabs>
              <w:adjustRightInd w:val="0"/>
              <w:snapToGrid w:val="0"/>
              <w:spacing w:line="200" w:lineRule="atLeast"/>
              <w:jc w:val="center"/>
              <w:rPr>
                <w:rFonts w:ascii="Times New Roman" w:hAnsi="Times New Roman"/>
                <w:color w:val="000000" w:themeColor="text1"/>
                <w:sz w:val="16"/>
                <w:szCs w:val="16"/>
              </w:rPr>
            </w:pPr>
            <w:r w:rsidRPr="00EA612D">
              <w:rPr>
                <w:rFonts w:ascii="Times New Roman" w:hAnsi="Times New Roman"/>
                <w:color w:val="000000" w:themeColor="text1"/>
                <w:sz w:val="16"/>
                <w:szCs w:val="16"/>
              </w:rPr>
              <w:t>50.00-70.00</w:t>
            </w:r>
          </w:p>
        </w:tc>
        <w:tc>
          <w:tcPr>
            <w:tcW w:w="1852" w:type="pct"/>
            <w:noWrap/>
            <w:vAlign w:val="center"/>
          </w:tcPr>
          <w:p w:rsidR="00A35D1A" w:rsidRPr="00EA612D" w:rsidRDefault="00A35D1A" w:rsidP="00A35D1A">
            <w:pPr>
              <w:tabs>
                <w:tab w:val="left" w:pos="0"/>
              </w:tabs>
              <w:adjustRightInd w:val="0"/>
              <w:snapToGrid w:val="0"/>
              <w:spacing w:line="200" w:lineRule="atLeast"/>
              <w:jc w:val="center"/>
              <w:rPr>
                <w:rFonts w:ascii="Times New Roman" w:hAnsi="Times New Roman"/>
                <w:color w:val="000000" w:themeColor="text1"/>
                <w:sz w:val="16"/>
                <w:szCs w:val="16"/>
              </w:rPr>
            </w:pPr>
            <w:r w:rsidRPr="00EA612D">
              <w:rPr>
                <w:rFonts w:ascii="Times New Roman" w:hAnsi="Times New Roman"/>
                <w:color w:val="000000" w:themeColor="text1"/>
                <w:sz w:val="16"/>
                <w:szCs w:val="16"/>
              </w:rPr>
              <w:t>土地出让合同</w:t>
            </w:r>
          </w:p>
        </w:tc>
      </w:tr>
      <w:tr w:rsidR="00835FFC" w:rsidRPr="00EA612D" w:rsidTr="00A35D1A">
        <w:trPr>
          <w:trHeight w:val="284"/>
        </w:trPr>
        <w:tc>
          <w:tcPr>
            <w:tcW w:w="1913" w:type="pct"/>
            <w:vAlign w:val="center"/>
          </w:tcPr>
          <w:p w:rsidR="00A35D1A" w:rsidRPr="00EA612D" w:rsidRDefault="00A35D1A" w:rsidP="00A35D1A">
            <w:pPr>
              <w:tabs>
                <w:tab w:val="left" w:pos="0"/>
              </w:tabs>
              <w:adjustRightInd w:val="0"/>
              <w:snapToGrid w:val="0"/>
              <w:spacing w:line="200" w:lineRule="atLeast"/>
              <w:rPr>
                <w:rFonts w:ascii="Times New Roman" w:hAnsi="Times New Roman"/>
                <w:color w:val="000000" w:themeColor="text1"/>
                <w:sz w:val="16"/>
                <w:szCs w:val="16"/>
              </w:rPr>
            </w:pPr>
            <w:r w:rsidRPr="00EA612D">
              <w:rPr>
                <w:rFonts w:ascii="Times New Roman" w:hAnsi="Times New Roman"/>
                <w:color w:val="000000" w:themeColor="text1"/>
                <w:sz w:val="16"/>
                <w:szCs w:val="16"/>
              </w:rPr>
              <w:t>软件、系统、许可费</w:t>
            </w:r>
          </w:p>
        </w:tc>
        <w:tc>
          <w:tcPr>
            <w:tcW w:w="1236" w:type="pct"/>
            <w:noWrap/>
            <w:vAlign w:val="center"/>
          </w:tcPr>
          <w:p w:rsidR="00A35D1A" w:rsidRPr="00EA612D" w:rsidRDefault="00A35D1A" w:rsidP="00A35D1A">
            <w:pPr>
              <w:tabs>
                <w:tab w:val="left" w:pos="0"/>
              </w:tabs>
              <w:adjustRightInd w:val="0"/>
              <w:snapToGrid w:val="0"/>
              <w:spacing w:line="200" w:lineRule="atLeast"/>
              <w:jc w:val="center"/>
              <w:rPr>
                <w:rFonts w:ascii="Times New Roman" w:hAnsi="Times New Roman"/>
                <w:color w:val="000000" w:themeColor="text1"/>
                <w:sz w:val="16"/>
                <w:szCs w:val="16"/>
              </w:rPr>
            </w:pPr>
            <w:r w:rsidRPr="00EA612D">
              <w:rPr>
                <w:rFonts w:ascii="Times New Roman" w:hAnsi="Times New Roman"/>
                <w:color w:val="000000" w:themeColor="text1"/>
                <w:sz w:val="16"/>
                <w:szCs w:val="16"/>
              </w:rPr>
              <w:t>3.00-10.00</w:t>
            </w:r>
          </w:p>
        </w:tc>
        <w:tc>
          <w:tcPr>
            <w:tcW w:w="1852" w:type="pct"/>
            <w:noWrap/>
            <w:vAlign w:val="center"/>
          </w:tcPr>
          <w:p w:rsidR="00A35D1A" w:rsidRPr="00EA612D" w:rsidRDefault="00A35D1A" w:rsidP="00A35D1A">
            <w:pPr>
              <w:tabs>
                <w:tab w:val="left" w:pos="0"/>
              </w:tabs>
              <w:adjustRightInd w:val="0"/>
              <w:snapToGrid w:val="0"/>
              <w:spacing w:line="200" w:lineRule="atLeast"/>
              <w:jc w:val="center"/>
              <w:rPr>
                <w:rFonts w:ascii="Times New Roman" w:hAnsi="Times New Roman"/>
                <w:color w:val="000000" w:themeColor="text1"/>
                <w:sz w:val="16"/>
                <w:szCs w:val="16"/>
              </w:rPr>
            </w:pPr>
            <w:r w:rsidRPr="00EA612D">
              <w:rPr>
                <w:rFonts w:ascii="Times New Roman" w:hAnsi="Times New Roman"/>
                <w:color w:val="000000" w:themeColor="text1"/>
                <w:sz w:val="16"/>
                <w:szCs w:val="16"/>
              </w:rPr>
              <w:t>购买合同、协议预计可使用年限</w:t>
            </w:r>
          </w:p>
        </w:tc>
      </w:tr>
      <w:tr w:rsidR="00835FFC" w:rsidRPr="00EA612D" w:rsidTr="00A35D1A">
        <w:trPr>
          <w:trHeight w:val="284"/>
        </w:trPr>
        <w:tc>
          <w:tcPr>
            <w:tcW w:w="1913" w:type="pct"/>
            <w:vAlign w:val="center"/>
          </w:tcPr>
          <w:p w:rsidR="00A35D1A" w:rsidRPr="00EA612D" w:rsidRDefault="00A35D1A" w:rsidP="00A35D1A">
            <w:pPr>
              <w:tabs>
                <w:tab w:val="left" w:pos="0"/>
              </w:tabs>
              <w:adjustRightInd w:val="0"/>
              <w:snapToGrid w:val="0"/>
              <w:spacing w:line="200" w:lineRule="atLeast"/>
              <w:rPr>
                <w:rFonts w:ascii="Times New Roman" w:hAnsi="Times New Roman"/>
                <w:color w:val="000000" w:themeColor="text1"/>
                <w:sz w:val="16"/>
                <w:szCs w:val="16"/>
              </w:rPr>
            </w:pPr>
            <w:r w:rsidRPr="00EA612D">
              <w:rPr>
                <w:rFonts w:ascii="Times New Roman" w:hAnsi="Times New Roman"/>
                <w:color w:val="000000" w:themeColor="text1"/>
                <w:sz w:val="16"/>
                <w:szCs w:val="16"/>
              </w:rPr>
              <w:t>专有技术</w:t>
            </w:r>
          </w:p>
        </w:tc>
        <w:tc>
          <w:tcPr>
            <w:tcW w:w="1236" w:type="pct"/>
            <w:vAlign w:val="center"/>
          </w:tcPr>
          <w:p w:rsidR="00A35D1A" w:rsidRPr="00EA612D" w:rsidRDefault="00A35D1A" w:rsidP="00A35D1A">
            <w:pPr>
              <w:tabs>
                <w:tab w:val="left" w:pos="0"/>
              </w:tabs>
              <w:adjustRightInd w:val="0"/>
              <w:snapToGrid w:val="0"/>
              <w:spacing w:line="200" w:lineRule="atLeast"/>
              <w:jc w:val="center"/>
              <w:rPr>
                <w:rFonts w:ascii="Times New Roman" w:hAnsi="Times New Roman"/>
                <w:color w:val="000000" w:themeColor="text1"/>
                <w:sz w:val="16"/>
                <w:szCs w:val="16"/>
              </w:rPr>
            </w:pPr>
            <w:r w:rsidRPr="00EA612D">
              <w:rPr>
                <w:rFonts w:ascii="Times New Roman" w:hAnsi="Times New Roman"/>
                <w:color w:val="000000" w:themeColor="text1"/>
                <w:sz w:val="16"/>
                <w:szCs w:val="16"/>
              </w:rPr>
              <w:t>3.00-10.00</w:t>
            </w:r>
          </w:p>
        </w:tc>
        <w:tc>
          <w:tcPr>
            <w:tcW w:w="1852" w:type="pct"/>
            <w:noWrap/>
            <w:vAlign w:val="center"/>
          </w:tcPr>
          <w:p w:rsidR="00A35D1A" w:rsidRPr="00EA612D" w:rsidRDefault="00A35D1A" w:rsidP="00A35D1A">
            <w:pPr>
              <w:tabs>
                <w:tab w:val="left" w:pos="0"/>
              </w:tabs>
              <w:adjustRightInd w:val="0"/>
              <w:snapToGrid w:val="0"/>
              <w:spacing w:line="200" w:lineRule="atLeast"/>
              <w:jc w:val="center"/>
              <w:rPr>
                <w:rFonts w:ascii="Times New Roman" w:hAnsi="Times New Roman"/>
                <w:color w:val="000000" w:themeColor="text1"/>
                <w:sz w:val="16"/>
                <w:szCs w:val="16"/>
              </w:rPr>
            </w:pPr>
            <w:r w:rsidRPr="00EA612D">
              <w:rPr>
                <w:rFonts w:ascii="Times New Roman" w:hAnsi="Times New Roman"/>
                <w:color w:val="000000" w:themeColor="text1"/>
                <w:sz w:val="16"/>
                <w:szCs w:val="16"/>
              </w:rPr>
              <w:t>预计可使用年限</w:t>
            </w:r>
          </w:p>
        </w:tc>
      </w:tr>
    </w:tbl>
    <w:p w:rsidR="00A35D1A" w:rsidRPr="00EA612D" w:rsidRDefault="0019511F" w:rsidP="00F663C7">
      <w:pPr>
        <w:spacing w:beforeLines="50" w:before="156" w:afterLines="50" w:after="156" w:line="360" w:lineRule="auto"/>
        <w:ind w:leftChars="50" w:left="105" w:rightChars="50" w:right="105" w:firstLineChars="200" w:firstLine="480"/>
        <w:jc w:val="left"/>
        <w:rPr>
          <w:rStyle w:val="a5"/>
          <w:rFonts w:asciiTheme="minorEastAsia" w:hAnsiTheme="minorEastAsia" w:cs="Times New Roman"/>
          <w:b w:val="0"/>
          <w:color w:val="000000" w:themeColor="text1"/>
          <w:sz w:val="24"/>
          <w:szCs w:val="24"/>
        </w:rPr>
      </w:pPr>
      <w:r w:rsidRPr="00EA612D">
        <w:rPr>
          <w:rStyle w:val="a5"/>
          <w:rFonts w:asciiTheme="minorEastAsia" w:hAnsiTheme="minorEastAsia" w:cs="Times New Roman" w:hint="eastAsia"/>
          <w:b w:val="0"/>
          <w:color w:val="000000" w:themeColor="text1"/>
          <w:sz w:val="24"/>
          <w:szCs w:val="24"/>
        </w:rPr>
        <w:t>（2）</w:t>
      </w:r>
      <w:r w:rsidR="00A35D1A" w:rsidRPr="00EA612D">
        <w:rPr>
          <w:rStyle w:val="a5"/>
          <w:rFonts w:asciiTheme="minorEastAsia" w:hAnsiTheme="minorEastAsia" w:cs="Times New Roman"/>
          <w:b w:val="0"/>
          <w:color w:val="000000" w:themeColor="text1"/>
          <w:sz w:val="24"/>
          <w:szCs w:val="24"/>
        </w:rPr>
        <w:t>本期确认费用大幅高于上期的原因、依据及合理性</w:t>
      </w:r>
    </w:p>
    <w:p w:rsidR="00A35D1A" w:rsidRPr="00EA612D" w:rsidRDefault="00A35D1A" w:rsidP="00F663C7">
      <w:pPr>
        <w:spacing w:beforeLines="50" w:before="156" w:afterLines="50" w:after="156" w:line="360" w:lineRule="auto"/>
        <w:ind w:leftChars="50" w:left="105" w:rightChars="50" w:right="105" w:firstLine="585"/>
        <w:jc w:val="left"/>
        <w:rPr>
          <w:rStyle w:val="a5"/>
          <w:rFonts w:asciiTheme="minorEastAsia" w:hAnsiTheme="minorEastAsia" w:cs="Times New Roman"/>
          <w:b w:val="0"/>
          <w:color w:val="000000" w:themeColor="text1"/>
          <w:sz w:val="24"/>
          <w:szCs w:val="24"/>
        </w:rPr>
      </w:pPr>
      <w:r w:rsidRPr="00EA612D">
        <w:rPr>
          <w:rStyle w:val="a5"/>
          <w:rFonts w:asciiTheme="minorEastAsia" w:hAnsiTheme="minorEastAsia" w:cs="Times New Roman"/>
          <w:b w:val="0"/>
          <w:color w:val="000000" w:themeColor="text1"/>
          <w:sz w:val="24"/>
          <w:szCs w:val="24"/>
        </w:rPr>
        <w:t>公司2016年度资产摊销大幅高于上期的原因及依据如下：</w:t>
      </w:r>
    </w:p>
    <w:p w:rsidR="00A35D1A" w:rsidRPr="00EA612D" w:rsidRDefault="00AB1C71" w:rsidP="00F663C7">
      <w:pPr>
        <w:spacing w:beforeLines="50" w:before="156" w:afterLines="50" w:after="156" w:line="360" w:lineRule="auto"/>
        <w:ind w:leftChars="50" w:left="105" w:rightChars="50" w:right="105" w:firstLineChars="200" w:firstLine="480"/>
        <w:rPr>
          <w:rFonts w:asciiTheme="minorEastAsia" w:hAnsiTheme="minorEastAsia" w:cs="Times New Roman"/>
          <w:color w:val="000000" w:themeColor="text1"/>
          <w:sz w:val="24"/>
          <w:szCs w:val="24"/>
        </w:rPr>
      </w:pPr>
      <w:r w:rsidRPr="00EA612D">
        <w:rPr>
          <w:rFonts w:asciiTheme="minorEastAsia" w:hAnsiTheme="minorEastAsia" w:cs="宋体" w:hint="eastAsia"/>
          <w:color w:val="000000" w:themeColor="text1"/>
          <w:sz w:val="24"/>
          <w:szCs w:val="24"/>
        </w:rPr>
        <w:t>①</w:t>
      </w:r>
      <w:r w:rsidR="00A35D1A" w:rsidRPr="00EA612D">
        <w:rPr>
          <w:rFonts w:asciiTheme="minorEastAsia" w:hAnsiTheme="minorEastAsia" w:cs="Times New Roman"/>
          <w:color w:val="000000" w:themeColor="text1"/>
          <w:sz w:val="24"/>
          <w:szCs w:val="24"/>
        </w:rPr>
        <w:t>2015年公司自主研发形成的无形资产达55,613.46万元，</w:t>
      </w:r>
      <w:proofErr w:type="gramStart"/>
      <w:r w:rsidR="00A35D1A" w:rsidRPr="00EA612D">
        <w:rPr>
          <w:rFonts w:asciiTheme="minorEastAsia" w:hAnsiTheme="minorEastAsia" w:cs="Times New Roman"/>
          <w:color w:val="000000" w:themeColor="text1"/>
          <w:sz w:val="24"/>
          <w:szCs w:val="24"/>
        </w:rPr>
        <w:t>经过结项评审</w:t>
      </w:r>
      <w:proofErr w:type="gramEnd"/>
      <w:r w:rsidR="00A35D1A" w:rsidRPr="00EA612D">
        <w:rPr>
          <w:rFonts w:asciiTheme="minorEastAsia" w:hAnsiTheme="minorEastAsia" w:cs="Times New Roman"/>
          <w:color w:val="000000" w:themeColor="text1"/>
          <w:sz w:val="24"/>
          <w:szCs w:val="24"/>
        </w:rPr>
        <w:t>，满足内部研发项目确认为无形资产的条件，符合无形资产准则的规定，于2015年12月结转为无形资产，摊销年限为3-5年，影响2016年增加无形资产摊销额11,494.83万元；</w:t>
      </w:r>
    </w:p>
    <w:p w:rsidR="00A35D1A" w:rsidRPr="00EA612D" w:rsidRDefault="00AB1C71" w:rsidP="00F663C7">
      <w:pPr>
        <w:spacing w:beforeLines="50" w:before="156" w:afterLines="50" w:after="156" w:line="360" w:lineRule="auto"/>
        <w:ind w:leftChars="50" w:left="105" w:rightChars="50" w:right="105" w:firstLineChars="200" w:firstLine="480"/>
        <w:rPr>
          <w:rFonts w:asciiTheme="minorEastAsia" w:hAnsiTheme="minorEastAsia" w:cs="Times New Roman"/>
          <w:color w:val="000000" w:themeColor="text1"/>
          <w:sz w:val="24"/>
          <w:szCs w:val="24"/>
        </w:rPr>
      </w:pPr>
      <w:r w:rsidRPr="00EA612D">
        <w:rPr>
          <w:rFonts w:asciiTheme="minorEastAsia" w:hAnsiTheme="minorEastAsia" w:cs="宋体" w:hint="eastAsia"/>
          <w:color w:val="000000" w:themeColor="text1"/>
          <w:sz w:val="24"/>
          <w:szCs w:val="24"/>
        </w:rPr>
        <w:t>②</w:t>
      </w:r>
      <w:r w:rsidR="00A35D1A" w:rsidRPr="00EA612D">
        <w:rPr>
          <w:rFonts w:asciiTheme="minorEastAsia" w:hAnsiTheme="minorEastAsia" w:cs="Times New Roman"/>
          <w:color w:val="000000" w:themeColor="text1"/>
          <w:sz w:val="24"/>
          <w:szCs w:val="24"/>
        </w:rPr>
        <w:t>2015年公司外购无形资产增加18,042.35万元，摊销年限为3-5年，影响2016年增加无形资产摊销额3,608.47万元；</w:t>
      </w:r>
    </w:p>
    <w:p w:rsidR="00A35D1A" w:rsidRPr="00EA612D" w:rsidRDefault="00AB1C71" w:rsidP="00F663C7">
      <w:pPr>
        <w:spacing w:beforeLines="50" w:before="156" w:afterLines="50" w:after="156" w:line="360" w:lineRule="auto"/>
        <w:ind w:leftChars="50" w:left="105" w:rightChars="50" w:right="105" w:firstLineChars="200" w:firstLine="480"/>
        <w:rPr>
          <w:rFonts w:asciiTheme="minorEastAsia" w:hAnsiTheme="minorEastAsia" w:cs="Times New Roman"/>
          <w:color w:val="000000" w:themeColor="text1"/>
          <w:sz w:val="24"/>
          <w:szCs w:val="24"/>
        </w:rPr>
      </w:pPr>
      <w:r w:rsidRPr="00EA612D">
        <w:rPr>
          <w:rFonts w:asciiTheme="minorEastAsia" w:hAnsiTheme="minorEastAsia" w:cs="宋体" w:hint="eastAsia"/>
          <w:color w:val="000000" w:themeColor="text1"/>
          <w:sz w:val="24"/>
          <w:szCs w:val="24"/>
        </w:rPr>
        <w:t>③</w:t>
      </w:r>
      <w:r w:rsidR="00A35D1A" w:rsidRPr="00EA612D">
        <w:rPr>
          <w:rFonts w:asciiTheme="minorEastAsia" w:hAnsiTheme="minorEastAsia" w:cs="Times New Roman"/>
          <w:color w:val="000000" w:themeColor="text1"/>
          <w:sz w:val="24"/>
          <w:szCs w:val="24"/>
        </w:rPr>
        <w:t>2016年公司自主研发形成的无形资产达48,285.40万元，其中年中转入无形资产45,498.02万元，</w:t>
      </w:r>
      <w:proofErr w:type="gramStart"/>
      <w:r w:rsidR="00A35D1A" w:rsidRPr="00EA612D">
        <w:rPr>
          <w:rFonts w:asciiTheme="minorEastAsia" w:hAnsiTheme="minorEastAsia" w:cs="Times New Roman"/>
          <w:color w:val="000000" w:themeColor="text1"/>
          <w:sz w:val="24"/>
          <w:szCs w:val="24"/>
        </w:rPr>
        <w:t>经过结项评审</w:t>
      </w:r>
      <w:proofErr w:type="gramEnd"/>
      <w:r w:rsidR="00A35D1A" w:rsidRPr="00EA612D">
        <w:rPr>
          <w:rFonts w:asciiTheme="minorEastAsia" w:hAnsiTheme="minorEastAsia" w:cs="Times New Roman"/>
          <w:color w:val="000000" w:themeColor="text1"/>
          <w:sz w:val="24"/>
          <w:szCs w:val="24"/>
        </w:rPr>
        <w:t>，满足内部研发项目确认为无形资产的条件，符合无形资产准则的规定，摊销年限为3-5年，影响2016年增加无形资产摊销额5,898.70万元；</w:t>
      </w:r>
    </w:p>
    <w:p w:rsidR="00A35D1A" w:rsidRPr="00EA612D" w:rsidRDefault="00AB1C71" w:rsidP="00F663C7">
      <w:pPr>
        <w:spacing w:beforeLines="50" w:before="156" w:afterLines="50" w:after="156" w:line="360" w:lineRule="auto"/>
        <w:ind w:leftChars="50" w:left="105" w:rightChars="50" w:right="105" w:firstLineChars="200" w:firstLine="480"/>
        <w:rPr>
          <w:rFonts w:asciiTheme="minorEastAsia" w:hAnsiTheme="minorEastAsia" w:cs="Times New Roman"/>
          <w:color w:val="000000" w:themeColor="text1"/>
          <w:sz w:val="24"/>
          <w:szCs w:val="24"/>
        </w:rPr>
      </w:pPr>
      <w:r w:rsidRPr="00EA612D">
        <w:rPr>
          <w:rFonts w:asciiTheme="minorEastAsia" w:hAnsiTheme="minorEastAsia" w:cs="宋体" w:hint="eastAsia"/>
          <w:color w:val="000000" w:themeColor="text1"/>
          <w:sz w:val="24"/>
          <w:szCs w:val="24"/>
        </w:rPr>
        <w:t>④</w:t>
      </w:r>
      <w:r w:rsidR="00A35D1A" w:rsidRPr="00EA612D">
        <w:rPr>
          <w:rFonts w:asciiTheme="minorEastAsia" w:hAnsiTheme="minorEastAsia" w:cs="Times New Roman"/>
          <w:color w:val="000000" w:themeColor="text1"/>
          <w:sz w:val="24"/>
          <w:szCs w:val="24"/>
        </w:rPr>
        <w:t>合并范围减少，减少无形资产摊销333.80万元；无形资产摊销完毕，同比减少无形资产摊销</w:t>
      </w:r>
      <w:r w:rsidR="00631690" w:rsidRPr="00EA612D">
        <w:rPr>
          <w:rFonts w:asciiTheme="minorEastAsia" w:hAnsiTheme="minorEastAsia" w:cs="Times New Roman" w:hint="eastAsia"/>
          <w:color w:val="000000" w:themeColor="text1"/>
          <w:sz w:val="24"/>
          <w:szCs w:val="24"/>
        </w:rPr>
        <w:t>6,388.72</w:t>
      </w:r>
      <w:r w:rsidR="00A35D1A" w:rsidRPr="00EA612D">
        <w:rPr>
          <w:rFonts w:asciiTheme="minorEastAsia" w:hAnsiTheme="minorEastAsia" w:cs="Times New Roman"/>
          <w:color w:val="000000" w:themeColor="text1"/>
          <w:sz w:val="24"/>
          <w:szCs w:val="24"/>
        </w:rPr>
        <w:t>万元。</w:t>
      </w:r>
    </w:p>
    <w:p w:rsidR="00A35D1A" w:rsidRPr="00EA612D" w:rsidRDefault="00A35D1A" w:rsidP="00F663C7">
      <w:pPr>
        <w:spacing w:beforeLines="50" w:before="156" w:afterLines="50" w:after="156" w:line="360" w:lineRule="auto"/>
        <w:ind w:leftChars="50" w:left="105" w:rightChars="50" w:right="105" w:firstLineChars="200" w:firstLine="480"/>
        <w:rPr>
          <w:rFonts w:asciiTheme="minorEastAsia" w:hAnsiTheme="minorEastAsia" w:cs="Times New Roman"/>
          <w:bCs/>
          <w:color w:val="000000" w:themeColor="text1"/>
          <w:sz w:val="24"/>
          <w:szCs w:val="24"/>
        </w:rPr>
      </w:pPr>
      <w:r w:rsidRPr="00EA612D">
        <w:rPr>
          <w:rFonts w:asciiTheme="minorEastAsia" w:hAnsiTheme="minorEastAsia" w:cs="Times New Roman"/>
          <w:bCs/>
          <w:color w:val="000000" w:themeColor="text1"/>
          <w:sz w:val="24"/>
          <w:szCs w:val="24"/>
        </w:rPr>
        <w:t>公司2015年及2016年无形资产原值变化如下：</w:t>
      </w:r>
    </w:p>
    <w:p w:rsidR="00A35D1A" w:rsidRPr="00EA612D" w:rsidRDefault="00A35D1A" w:rsidP="00A35D1A">
      <w:pPr>
        <w:adjustRightInd w:val="0"/>
        <w:snapToGrid w:val="0"/>
        <w:spacing w:line="400" w:lineRule="atLeast"/>
        <w:ind w:firstLineChars="200" w:firstLine="560"/>
        <w:jc w:val="right"/>
        <w:rPr>
          <w:rFonts w:ascii="Times New Roman" w:hAnsi="Times New Roman" w:cs="Times New Roman"/>
          <w:color w:val="000000" w:themeColor="text1"/>
          <w:szCs w:val="21"/>
        </w:rPr>
      </w:pPr>
      <w:r w:rsidRPr="00EA612D">
        <w:rPr>
          <w:rFonts w:ascii="Times New Roman" w:hAnsi="Times New Roman" w:cs="Times New Roman"/>
          <w:color w:val="000000" w:themeColor="text1"/>
          <w:sz w:val="28"/>
          <w:szCs w:val="28"/>
        </w:rPr>
        <w:t xml:space="preserve">                                      </w:t>
      </w:r>
      <w:r w:rsidRPr="00EA612D">
        <w:rPr>
          <w:rFonts w:ascii="Times New Roman" w:hAnsi="Times New Roman" w:cs="Times New Roman"/>
          <w:color w:val="000000" w:themeColor="text1"/>
          <w:szCs w:val="21"/>
        </w:rPr>
        <w:t>单位：人民币万元</w:t>
      </w:r>
    </w:p>
    <w:tbl>
      <w:tblPr>
        <w:tblStyle w:val="g3"/>
        <w:tblW w:w="5000" w:type="pct"/>
        <w:tblBorders>
          <w:top w:val="single" w:sz="12" w:space="0" w:color="auto"/>
          <w:bottom w:val="single" w:sz="12" w:space="0" w:color="auto"/>
          <w:insideH w:val="dotted" w:sz="4" w:space="0" w:color="auto"/>
          <w:insideV w:val="dotted" w:sz="4" w:space="0" w:color="auto"/>
        </w:tblBorders>
        <w:tblCellMar>
          <w:top w:w="28" w:type="dxa"/>
          <w:bottom w:w="28" w:type="dxa"/>
        </w:tblCellMar>
        <w:tblLook w:val="0000" w:firstRow="0" w:lastRow="0" w:firstColumn="0" w:lastColumn="0" w:noHBand="0" w:noVBand="0"/>
      </w:tblPr>
      <w:tblGrid>
        <w:gridCol w:w="1508"/>
        <w:gridCol w:w="1433"/>
        <w:gridCol w:w="2129"/>
        <w:gridCol w:w="1560"/>
        <w:gridCol w:w="1892"/>
      </w:tblGrid>
      <w:tr w:rsidR="00835FFC" w:rsidRPr="00EA612D" w:rsidTr="00A35D1A">
        <w:trPr>
          <w:trHeight w:val="284"/>
        </w:trPr>
        <w:tc>
          <w:tcPr>
            <w:tcW w:w="885" w:type="pct"/>
            <w:noWrap/>
            <w:vAlign w:val="center"/>
          </w:tcPr>
          <w:p w:rsidR="00A35D1A" w:rsidRPr="00EA612D" w:rsidRDefault="00A35D1A" w:rsidP="00A35D1A">
            <w:pPr>
              <w:tabs>
                <w:tab w:val="left" w:pos="0"/>
              </w:tabs>
              <w:adjustRightInd w:val="0"/>
              <w:snapToGrid w:val="0"/>
              <w:spacing w:line="200" w:lineRule="atLeast"/>
              <w:jc w:val="center"/>
              <w:rPr>
                <w:rFonts w:ascii="Times New Roman" w:eastAsiaTheme="minorEastAsia" w:hAnsi="Times New Roman"/>
                <w:color w:val="000000" w:themeColor="text1"/>
                <w:sz w:val="16"/>
                <w:szCs w:val="16"/>
              </w:rPr>
            </w:pPr>
            <w:r w:rsidRPr="00EA612D">
              <w:rPr>
                <w:rFonts w:ascii="Times New Roman" w:eastAsiaTheme="minorEastAsia" w:hAnsi="Times New Roman"/>
                <w:color w:val="000000" w:themeColor="text1"/>
                <w:sz w:val="16"/>
                <w:szCs w:val="16"/>
              </w:rPr>
              <w:t>期间</w:t>
            </w:r>
          </w:p>
        </w:tc>
        <w:tc>
          <w:tcPr>
            <w:tcW w:w="841" w:type="pct"/>
            <w:noWrap/>
            <w:vAlign w:val="bottom"/>
          </w:tcPr>
          <w:p w:rsidR="00A35D1A" w:rsidRPr="00EA612D" w:rsidRDefault="00A35D1A" w:rsidP="00A35D1A">
            <w:pPr>
              <w:widowControl/>
              <w:jc w:val="center"/>
              <w:rPr>
                <w:rFonts w:ascii="Times New Roman" w:eastAsiaTheme="minorEastAsia" w:hAnsi="Times New Roman"/>
                <w:color w:val="000000" w:themeColor="text1"/>
                <w:sz w:val="16"/>
                <w:szCs w:val="16"/>
              </w:rPr>
            </w:pPr>
            <w:r w:rsidRPr="00EA612D">
              <w:rPr>
                <w:rFonts w:ascii="Times New Roman" w:eastAsiaTheme="minorEastAsia" w:hAnsi="Times New Roman"/>
                <w:color w:val="000000" w:themeColor="text1"/>
                <w:sz w:val="16"/>
                <w:szCs w:val="16"/>
              </w:rPr>
              <w:t>年初余额</w:t>
            </w:r>
          </w:p>
        </w:tc>
        <w:tc>
          <w:tcPr>
            <w:tcW w:w="1249" w:type="pct"/>
            <w:vAlign w:val="bottom"/>
          </w:tcPr>
          <w:p w:rsidR="00A35D1A" w:rsidRPr="00EA612D" w:rsidRDefault="00A35D1A" w:rsidP="00A35D1A">
            <w:pPr>
              <w:widowControl/>
              <w:jc w:val="center"/>
              <w:rPr>
                <w:rFonts w:ascii="Times New Roman" w:eastAsiaTheme="minorEastAsia" w:hAnsi="Times New Roman"/>
                <w:color w:val="000000" w:themeColor="text1"/>
                <w:sz w:val="16"/>
                <w:szCs w:val="16"/>
              </w:rPr>
            </w:pPr>
            <w:r w:rsidRPr="00EA612D">
              <w:rPr>
                <w:rFonts w:ascii="Times New Roman" w:eastAsiaTheme="minorEastAsia" w:hAnsi="Times New Roman"/>
                <w:color w:val="000000" w:themeColor="text1"/>
                <w:sz w:val="16"/>
                <w:szCs w:val="16"/>
              </w:rPr>
              <w:t>本期增加</w:t>
            </w:r>
          </w:p>
        </w:tc>
        <w:tc>
          <w:tcPr>
            <w:tcW w:w="915" w:type="pct"/>
            <w:vAlign w:val="bottom"/>
          </w:tcPr>
          <w:p w:rsidR="00A35D1A" w:rsidRPr="00EA612D" w:rsidRDefault="00A35D1A" w:rsidP="00A35D1A">
            <w:pPr>
              <w:widowControl/>
              <w:jc w:val="center"/>
              <w:rPr>
                <w:rFonts w:ascii="Times New Roman" w:eastAsiaTheme="minorEastAsia" w:hAnsi="Times New Roman"/>
                <w:color w:val="000000" w:themeColor="text1"/>
                <w:sz w:val="16"/>
                <w:szCs w:val="16"/>
              </w:rPr>
            </w:pPr>
            <w:r w:rsidRPr="00EA612D">
              <w:rPr>
                <w:rFonts w:ascii="Times New Roman" w:eastAsiaTheme="minorEastAsia" w:hAnsi="Times New Roman"/>
                <w:color w:val="000000" w:themeColor="text1"/>
                <w:sz w:val="16"/>
                <w:szCs w:val="16"/>
              </w:rPr>
              <w:t>本期减少</w:t>
            </w:r>
          </w:p>
        </w:tc>
        <w:tc>
          <w:tcPr>
            <w:tcW w:w="1110" w:type="pct"/>
            <w:noWrap/>
            <w:vAlign w:val="bottom"/>
          </w:tcPr>
          <w:p w:rsidR="00A35D1A" w:rsidRPr="00EA612D" w:rsidRDefault="00A35D1A" w:rsidP="00A35D1A">
            <w:pPr>
              <w:widowControl/>
              <w:jc w:val="center"/>
              <w:rPr>
                <w:rFonts w:ascii="Times New Roman" w:eastAsiaTheme="minorEastAsia" w:hAnsi="Times New Roman"/>
                <w:color w:val="000000" w:themeColor="text1"/>
                <w:sz w:val="16"/>
                <w:szCs w:val="16"/>
              </w:rPr>
            </w:pPr>
            <w:r w:rsidRPr="00EA612D">
              <w:rPr>
                <w:rFonts w:ascii="Times New Roman" w:eastAsiaTheme="minorEastAsia" w:hAnsi="Times New Roman"/>
                <w:color w:val="000000" w:themeColor="text1"/>
                <w:sz w:val="16"/>
                <w:szCs w:val="16"/>
              </w:rPr>
              <w:t>期末余额</w:t>
            </w:r>
          </w:p>
        </w:tc>
      </w:tr>
      <w:tr w:rsidR="00835FFC" w:rsidRPr="00EA612D" w:rsidTr="00A35D1A">
        <w:trPr>
          <w:trHeight w:val="284"/>
        </w:trPr>
        <w:tc>
          <w:tcPr>
            <w:tcW w:w="885" w:type="pct"/>
            <w:vAlign w:val="center"/>
          </w:tcPr>
          <w:p w:rsidR="00A35D1A" w:rsidRPr="00EA612D" w:rsidRDefault="00A35D1A" w:rsidP="00A35D1A">
            <w:pPr>
              <w:tabs>
                <w:tab w:val="left" w:pos="0"/>
              </w:tabs>
              <w:adjustRightInd w:val="0"/>
              <w:snapToGrid w:val="0"/>
              <w:spacing w:line="200" w:lineRule="atLeast"/>
              <w:rPr>
                <w:rFonts w:ascii="Times New Roman" w:eastAsiaTheme="minorEastAsia" w:hAnsi="Times New Roman"/>
                <w:color w:val="000000" w:themeColor="text1"/>
                <w:sz w:val="16"/>
                <w:szCs w:val="16"/>
              </w:rPr>
            </w:pPr>
            <w:r w:rsidRPr="00EA612D">
              <w:rPr>
                <w:rFonts w:ascii="Times New Roman" w:eastAsiaTheme="minorEastAsia" w:hAnsi="Times New Roman"/>
                <w:color w:val="000000" w:themeColor="text1"/>
                <w:sz w:val="16"/>
                <w:szCs w:val="16"/>
              </w:rPr>
              <w:t>2015</w:t>
            </w:r>
            <w:r w:rsidRPr="00EA612D">
              <w:rPr>
                <w:rFonts w:ascii="Times New Roman" w:eastAsiaTheme="minorEastAsia" w:hAnsi="Times New Roman"/>
                <w:color w:val="000000" w:themeColor="text1"/>
                <w:sz w:val="16"/>
                <w:szCs w:val="16"/>
              </w:rPr>
              <w:t>年度</w:t>
            </w:r>
          </w:p>
        </w:tc>
        <w:tc>
          <w:tcPr>
            <w:tcW w:w="841" w:type="pct"/>
            <w:noWrap/>
            <w:vAlign w:val="bottom"/>
          </w:tcPr>
          <w:p w:rsidR="00A35D1A" w:rsidRPr="00EA612D" w:rsidRDefault="00A35D1A" w:rsidP="00A35D1A">
            <w:pPr>
              <w:jc w:val="right"/>
              <w:rPr>
                <w:rFonts w:ascii="Times New Roman" w:eastAsiaTheme="minorEastAsia" w:hAnsi="Times New Roman"/>
                <w:color w:val="000000" w:themeColor="text1"/>
                <w:sz w:val="16"/>
                <w:szCs w:val="16"/>
              </w:rPr>
            </w:pPr>
            <w:r w:rsidRPr="00EA612D">
              <w:rPr>
                <w:rFonts w:ascii="Times New Roman" w:eastAsiaTheme="minorEastAsia" w:hAnsi="Times New Roman"/>
                <w:color w:val="000000" w:themeColor="text1"/>
                <w:sz w:val="16"/>
                <w:szCs w:val="16"/>
              </w:rPr>
              <w:t>240,515.95</w:t>
            </w:r>
          </w:p>
        </w:tc>
        <w:tc>
          <w:tcPr>
            <w:tcW w:w="1249" w:type="pct"/>
            <w:vAlign w:val="bottom"/>
          </w:tcPr>
          <w:p w:rsidR="00A35D1A" w:rsidRPr="00EA612D" w:rsidRDefault="00A35D1A" w:rsidP="00A35D1A">
            <w:pPr>
              <w:jc w:val="right"/>
              <w:rPr>
                <w:rFonts w:ascii="Times New Roman" w:eastAsiaTheme="minorEastAsia" w:hAnsi="Times New Roman"/>
                <w:color w:val="000000" w:themeColor="text1"/>
                <w:sz w:val="16"/>
                <w:szCs w:val="16"/>
              </w:rPr>
            </w:pPr>
            <w:r w:rsidRPr="00EA612D">
              <w:rPr>
                <w:rFonts w:ascii="Times New Roman" w:eastAsiaTheme="minorEastAsia" w:hAnsi="Times New Roman"/>
                <w:color w:val="000000" w:themeColor="text1"/>
                <w:sz w:val="16"/>
                <w:szCs w:val="16"/>
              </w:rPr>
              <w:t>73,655.81</w:t>
            </w:r>
          </w:p>
        </w:tc>
        <w:tc>
          <w:tcPr>
            <w:tcW w:w="915" w:type="pct"/>
            <w:vAlign w:val="bottom"/>
          </w:tcPr>
          <w:p w:rsidR="00A35D1A" w:rsidRPr="00EA612D" w:rsidRDefault="00A35D1A" w:rsidP="00A35D1A">
            <w:pPr>
              <w:jc w:val="right"/>
              <w:rPr>
                <w:rFonts w:ascii="Times New Roman" w:eastAsiaTheme="minorEastAsia" w:hAnsi="Times New Roman"/>
                <w:color w:val="000000" w:themeColor="text1"/>
                <w:sz w:val="16"/>
                <w:szCs w:val="16"/>
              </w:rPr>
            </w:pPr>
            <w:r w:rsidRPr="00EA612D">
              <w:rPr>
                <w:rFonts w:ascii="Times New Roman" w:eastAsiaTheme="minorEastAsia" w:hAnsi="Times New Roman"/>
                <w:color w:val="000000" w:themeColor="text1"/>
                <w:sz w:val="16"/>
                <w:szCs w:val="16"/>
              </w:rPr>
              <w:t>6,278.52</w:t>
            </w:r>
          </w:p>
        </w:tc>
        <w:tc>
          <w:tcPr>
            <w:tcW w:w="1110" w:type="pct"/>
            <w:noWrap/>
            <w:vAlign w:val="bottom"/>
          </w:tcPr>
          <w:p w:rsidR="00A35D1A" w:rsidRPr="00EA612D" w:rsidRDefault="00A35D1A" w:rsidP="00A35D1A">
            <w:pPr>
              <w:jc w:val="right"/>
              <w:rPr>
                <w:rFonts w:ascii="Times New Roman" w:eastAsiaTheme="minorEastAsia" w:hAnsi="Times New Roman"/>
                <w:color w:val="000000" w:themeColor="text1"/>
                <w:sz w:val="16"/>
                <w:szCs w:val="16"/>
              </w:rPr>
            </w:pPr>
            <w:r w:rsidRPr="00EA612D">
              <w:rPr>
                <w:rFonts w:ascii="Times New Roman" w:eastAsiaTheme="minorEastAsia" w:hAnsi="Times New Roman"/>
                <w:color w:val="000000" w:themeColor="text1"/>
                <w:sz w:val="16"/>
                <w:szCs w:val="16"/>
              </w:rPr>
              <w:t>307,893.24</w:t>
            </w:r>
          </w:p>
        </w:tc>
      </w:tr>
      <w:tr w:rsidR="00835FFC" w:rsidRPr="00EA612D" w:rsidTr="00A35D1A">
        <w:trPr>
          <w:trHeight w:val="284"/>
        </w:trPr>
        <w:tc>
          <w:tcPr>
            <w:tcW w:w="885" w:type="pct"/>
            <w:vAlign w:val="center"/>
          </w:tcPr>
          <w:p w:rsidR="00A35D1A" w:rsidRPr="00EA612D" w:rsidRDefault="00A35D1A" w:rsidP="00A35D1A">
            <w:pPr>
              <w:tabs>
                <w:tab w:val="left" w:pos="0"/>
              </w:tabs>
              <w:adjustRightInd w:val="0"/>
              <w:snapToGrid w:val="0"/>
              <w:spacing w:line="200" w:lineRule="atLeast"/>
              <w:rPr>
                <w:rFonts w:ascii="Times New Roman" w:eastAsiaTheme="minorEastAsia" w:hAnsi="Times New Roman"/>
                <w:color w:val="000000" w:themeColor="text1"/>
                <w:sz w:val="16"/>
                <w:szCs w:val="16"/>
              </w:rPr>
            </w:pPr>
            <w:r w:rsidRPr="00EA612D">
              <w:rPr>
                <w:rFonts w:ascii="Times New Roman" w:eastAsiaTheme="minorEastAsia" w:hAnsi="Times New Roman"/>
                <w:color w:val="000000" w:themeColor="text1"/>
                <w:sz w:val="16"/>
                <w:szCs w:val="16"/>
              </w:rPr>
              <w:lastRenderedPageBreak/>
              <w:t>2016</w:t>
            </w:r>
            <w:r w:rsidRPr="00EA612D">
              <w:rPr>
                <w:rFonts w:ascii="Times New Roman" w:eastAsiaTheme="minorEastAsia" w:hAnsi="Times New Roman"/>
                <w:color w:val="000000" w:themeColor="text1"/>
                <w:sz w:val="16"/>
                <w:szCs w:val="16"/>
              </w:rPr>
              <w:t>年度</w:t>
            </w:r>
          </w:p>
        </w:tc>
        <w:tc>
          <w:tcPr>
            <w:tcW w:w="841" w:type="pct"/>
            <w:noWrap/>
            <w:vAlign w:val="bottom"/>
          </w:tcPr>
          <w:p w:rsidR="00A35D1A" w:rsidRPr="00EA612D" w:rsidRDefault="00A35D1A" w:rsidP="00A35D1A">
            <w:pPr>
              <w:jc w:val="right"/>
              <w:rPr>
                <w:rFonts w:ascii="Times New Roman" w:eastAsiaTheme="minorEastAsia" w:hAnsi="Times New Roman"/>
                <w:color w:val="000000" w:themeColor="text1"/>
                <w:sz w:val="16"/>
                <w:szCs w:val="16"/>
              </w:rPr>
            </w:pPr>
            <w:r w:rsidRPr="00EA612D">
              <w:rPr>
                <w:rFonts w:ascii="Times New Roman" w:eastAsiaTheme="minorEastAsia" w:hAnsi="Times New Roman"/>
                <w:color w:val="000000" w:themeColor="text1"/>
                <w:sz w:val="16"/>
                <w:szCs w:val="16"/>
              </w:rPr>
              <w:t>307,893.24</w:t>
            </w:r>
          </w:p>
        </w:tc>
        <w:tc>
          <w:tcPr>
            <w:tcW w:w="1249" w:type="pct"/>
            <w:vAlign w:val="bottom"/>
          </w:tcPr>
          <w:p w:rsidR="00A35D1A" w:rsidRPr="00EA612D" w:rsidRDefault="00A35D1A" w:rsidP="00A35D1A">
            <w:pPr>
              <w:jc w:val="right"/>
              <w:rPr>
                <w:rFonts w:ascii="Times New Roman" w:eastAsiaTheme="minorEastAsia" w:hAnsi="Times New Roman"/>
                <w:color w:val="000000" w:themeColor="text1"/>
                <w:sz w:val="16"/>
                <w:szCs w:val="16"/>
              </w:rPr>
            </w:pPr>
            <w:r w:rsidRPr="00EA612D">
              <w:rPr>
                <w:rFonts w:ascii="Times New Roman" w:eastAsiaTheme="minorEastAsia" w:hAnsi="Times New Roman"/>
                <w:color w:val="000000" w:themeColor="text1"/>
                <w:sz w:val="16"/>
                <w:szCs w:val="16"/>
              </w:rPr>
              <w:t>65,721.20</w:t>
            </w:r>
          </w:p>
        </w:tc>
        <w:tc>
          <w:tcPr>
            <w:tcW w:w="915" w:type="pct"/>
            <w:vAlign w:val="bottom"/>
          </w:tcPr>
          <w:p w:rsidR="00A35D1A" w:rsidRPr="00EA612D" w:rsidRDefault="00A35D1A" w:rsidP="00A35D1A">
            <w:pPr>
              <w:jc w:val="right"/>
              <w:rPr>
                <w:rFonts w:ascii="Times New Roman" w:eastAsiaTheme="minorEastAsia" w:hAnsi="Times New Roman"/>
                <w:color w:val="000000" w:themeColor="text1"/>
                <w:sz w:val="16"/>
                <w:szCs w:val="16"/>
              </w:rPr>
            </w:pPr>
            <w:r w:rsidRPr="00EA612D">
              <w:rPr>
                <w:rFonts w:ascii="Times New Roman" w:eastAsiaTheme="minorEastAsia" w:hAnsi="Times New Roman"/>
                <w:color w:val="000000" w:themeColor="text1"/>
                <w:sz w:val="16"/>
                <w:szCs w:val="16"/>
              </w:rPr>
              <w:t>5,060.23</w:t>
            </w:r>
          </w:p>
        </w:tc>
        <w:tc>
          <w:tcPr>
            <w:tcW w:w="1110" w:type="pct"/>
            <w:noWrap/>
            <w:vAlign w:val="bottom"/>
          </w:tcPr>
          <w:p w:rsidR="00A35D1A" w:rsidRPr="00EA612D" w:rsidRDefault="00A35D1A" w:rsidP="00A35D1A">
            <w:pPr>
              <w:jc w:val="right"/>
              <w:rPr>
                <w:rFonts w:ascii="Times New Roman" w:eastAsiaTheme="minorEastAsia" w:hAnsi="Times New Roman"/>
                <w:color w:val="000000" w:themeColor="text1"/>
                <w:sz w:val="16"/>
                <w:szCs w:val="16"/>
              </w:rPr>
            </w:pPr>
            <w:r w:rsidRPr="00EA612D">
              <w:rPr>
                <w:rFonts w:ascii="Times New Roman" w:eastAsiaTheme="minorEastAsia" w:hAnsi="Times New Roman"/>
                <w:color w:val="000000" w:themeColor="text1"/>
                <w:sz w:val="16"/>
                <w:szCs w:val="16"/>
              </w:rPr>
              <w:t>368,554.21</w:t>
            </w:r>
          </w:p>
        </w:tc>
      </w:tr>
    </w:tbl>
    <w:p w:rsidR="00A35D1A" w:rsidRPr="00EA612D" w:rsidRDefault="00A35D1A" w:rsidP="00F663C7">
      <w:pPr>
        <w:spacing w:beforeLines="50" w:before="156" w:afterLines="50" w:after="156" w:line="360" w:lineRule="auto"/>
        <w:ind w:leftChars="50" w:left="105" w:rightChars="50" w:right="105" w:firstLineChars="200" w:firstLine="480"/>
        <w:rPr>
          <w:rFonts w:asciiTheme="minorEastAsia" w:hAnsiTheme="minorEastAsia" w:cs="Times New Roman"/>
          <w:bCs/>
          <w:color w:val="000000" w:themeColor="text1"/>
          <w:sz w:val="24"/>
          <w:szCs w:val="24"/>
        </w:rPr>
      </w:pPr>
      <w:r w:rsidRPr="00EA612D">
        <w:rPr>
          <w:rFonts w:asciiTheme="minorEastAsia" w:hAnsiTheme="minorEastAsia" w:cs="Times New Roman"/>
          <w:bCs/>
          <w:color w:val="000000" w:themeColor="text1"/>
          <w:sz w:val="24"/>
          <w:szCs w:val="24"/>
        </w:rPr>
        <w:t>由上表可以看出，公司无形资产的规模逐年增加，资产摊销的基数不断加大，使资产摊销金额增加。公司本期确认摊销费用大幅高于上期的原因合理，依据充分。</w:t>
      </w:r>
    </w:p>
    <w:p w:rsidR="00A35D1A" w:rsidRPr="00EA612D" w:rsidRDefault="00A35D1A" w:rsidP="00F663C7">
      <w:pPr>
        <w:spacing w:beforeLines="50" w:before="156" w:afterLines="50" w:after="156" w:line="360" w:lineRule="auto"/>
        <w:ind w:leftChars="50" w:left="105" w:rightChars="50" w:right="105" w:firstLineChars="200" w:firstLine="482"/>
        <w:rPr>
          <w:rStyle w:val="a5"/>
          <w:rFonts w:asciiTheme="minorEastAsia" w:hAnsiTheme="minorEastAsia" w:cs="Times New Roman"/>
          <w:color w:val="000000" w:themeColor="text1"/>
          <w:sz w:val="24"/>
          <w:szCs w:val="24"/>
        </w:rPr>
      </w:pPr>
      <w:r w:rsidRPr="00EA612D">
        <w:rPr>
          <w:rStyle w:val="a5"/>
          <w:rFonts w:asciiTheme="minorEastAsia" w:hAnsiTheme="minorEastAsia" w:cs="Times New Roman"/>
          <w:color w:val="000000" w:themeColor="text1"/>
          <w:sz w:val="24"/>
          <w:szCs w:val="24"/>
        </w:rPr>
        <w:t>会计师意见：</w:t>
      </w:r>
    </w:p>
    <w:p w:rsidR="00A35D1A" w:rsidRPr="00EA612D" w:rsidRDefault="00154976" w:rsidP="005C5DAF">
      <w:pPr>
        <w:spacing w:beforeLines="50" w:before="156" w:afterLines="50" w:after="156" w:line="360" w:lineRule="auto"/>
        <w:ind w:leftChars="50" w:left="105" w:rightChars="50" w:right="105" w:firstLineChars="200" w:firstLine="480"/>
        <w:jc w:val="left"/>
        <w:rPr>
          <w:rStyle w:val="a5"/>
          <w:rFonts w:asciiTheme="minorEastAsia" w:hAnsiTheme="minorEastAsia" w:cs="Times New Roman"/>
          <w:b w:val="0"/>
          <w:color w:val="000000" w:themeColor="text1"/>
          <w:sz w:val="24"/>
          <w:szCs w:val="24"/>
        </w:rPr>
      </w:pPr>
      <w:r w:rsidRPr="00EA612D">
        <w:rPr>
          <w:rStyle w:val="a5"/>
          <w:rFonts w:asciiTheme="minorEastAsia" w:hAnsiTheme="minorEastAsia" w:cs="Times New Roman" w:hint="eastAsia"/>
          <w:b w:val="0"/>
          <w:color w:val="000000" w:themeColor="text1"/>
          <w:sz w:val="24"/>
          <w:szCs w:val="24"/>
        </w:rPr>
        <w:t>我们获取了公司自</w:t>
      </w:r>
      <w:proofErr w:type="gramStart"/>
      <w:r w:rsidRPr="00EA612D">
        <w:rPr>
          <w:rStyle w:val="a5"/>
          <w:rFonts w:asciiTheme="minorEastAsia" w:hAnsiTheme="minorEastAsia" w:cs="Times New Roman" w:hint="eastAsia"/>
          <w:b w:val="0"/>
          <w:color w:val="000000" w:themeColor="text1"/>
          <w:sz w:val="24"/>
          <w:szCs w:val="24"/>
        </w:rPr>
        <w:t>研</w:t>
      </w:r>
      <w:proofErr w:type="gramEnd"/>
      <w:r w:rsidRPr="00EA612D">
        <w:rPr>
          <w:rStyle w:val="a5"/>
          <w:rFonts w:asciiTheme="minorEastAsia" w:hAnsiTheme="minorEastAsia" w:cs="Times New Roman" w:hint="eastAsia"/>
          <w:b w:val="0"/>
          <w:color w:val="000000" w:themeColor="text1"/>
          <w:sz w:val="24"/>
          <w:szCs w:val="24"/>
        </w:rPr>
        <w:t>转入无形资产的具体情况及相关的审批程序，复核摊销年限等会计估计信息，对公司的无形资产进行摊销测算，未发现重大差异。我们认为：公司本期确认资产摊销</w:t>
      </w:r>
      <w:r w:rsidRPr="00EA612D">
        <w:rPr>
          <w:rStyle w:val="a5"/>
          <w:rFonts w:asciiTheme="minorEastAsia" w:hAnsiTheme="minorEastAsia" w:cs="Times New Roman"/>
          <w:b w:val="0"/>
          <w:color w:val="000000" w:themeColor="text1"/>
          <w:sz w:val="24"/>
          <w:szCs w:val="24"/>
        </w:rPr>
        <w:t>31,459.42万元，比上年同期增加14,947.08万元，符合公司的实际情况及企业会计准则的规定。</w:t>
      </w:r>
    </w:p>
    <w:p w:rsidR="0049355C" w:rsidRPr="00EA612D" w:rsidRDefault="0049355C" w:rsidP="00FC5BBF">
      <w:pPr>
        <w:pStyle w:val="Default"/>
        <w:spacing w:beforeLines="50" w:before="156" w:afterLines="50" w:after="156" w:line="360" w:lineRule="auto"/>
        <w:ind w:leftChars="50" w:left="105" w:rightChars="50" w:right="105" w:firstLineChars="200" w:firstLine="482"/>
        <w:rPr>
          <w:rFonts w:asciiTheme="minorEastAsia" w:hAnsiTheme="minorEastAsia" w:cs="Times New Roman"/>
          <w:b/>
          <w:color w:val="000000" w:themeColor="text1"/>
        </w:rPr>
      </w:pPr>
      <w:r w:rsidRPr="00EA612D">
        <w:rPr>
          <w:rFonts w:asciiTheme="minorEastAsia" w:hAnsiTheme="minorEastAsia" w:cs="Times New Roman"/>
          <w:b/>
          <w:color w:val="000000" w:themeColor="text1"/>
        </w:rPr>
        <w:t>9.年报披露，公司存在多项或有事项，请补充披露公司相关或有事项是否已确认相应预计负债，若是，请披露金额及对公司经营的影响，若否，请披露未确认的判断依据及合理性。</w:t>
      </w:r>
    </w:p>
    <w:p w:rsidR="0049355C" w:rsidRPr="00EA612D" w:rsidRDefault="0049355C" w:rsidP="00F663C7">
      <w:pPr>
        <w:spacing w:beforeLines="50" w:before="156" w:afterLines="50" w:after="156" w:line="360" w:lineRule="auto"/>
        <w:ind w:leftChars="50" w:left="105" w:rightChars="50" w:right="105" w:firstLineChars="200" w:firstLine="482"/>
        <w:rPr>
          <w:rFonts w:asciiTheme="minorEastAsia" w:hAnsiTheme="minorEastAsia" w:cs="Times New Roman"/>
          <w:color w:val="000000" w:themeColor="text1"/>
          <w:sz w:val="24"/>
          <w:szCs w:val="24"/>
        </w:rPr>
      </w:pPr>
      <w:r w:rsidRPr="00EA612D">
        <w:rPr>
          <w:rFonts w:asciiTheme="minorEastAsia" w:hAnsiTheme="minorEastAsia" w:cs="Times New Roman"/>
          <w:b/>
          <w:color w:val="000000" w:themeColor="text1"/>
          <w:sz w:val="24"/>
          <w:szCs w:val="24"/>
        </w:rPr>
        <w:t>公司回复：</w:t>
      </w:r>
    </w:p>
    <w:p w:rsidR="0049355C" w:rsidRPr="00EA612D" w:rsidRDefault="0019511F" w:rsidP="00F663C7">
      <w:pPr>
        <w:spacing w:beforeLines="50" w:before="156" w:afterLines="50" w:after="156" w:line="360" w:lineRule="auto"/>
        <w:ind w:leftChars="50" w:left="105" w:rightChars="50" w:right="105" w:firstLineChars="200" w:firstLine="480"/>
        <w:rPr>
          <w:rFonts w:asciiTheme="minorEastAsia" w:hAnsiTheme="minorEastAsia" w:cs="Times New Roman"/>
          <w:color w:val="000000" w:themeColor="text1"/>
          <w:sz w:val="24"/>
          <w:szCs w:val="24"/>
        </w:rPr>
      </w:pPr>
      <w:r w:rsidRPr="00EA612D">
        <w:rPr>
          <w:rFonts w:asciiTheme="minorEastAsia" w:hAnsiTheme="minorEastAsia" w:cs="Times New Roman" w:hint="eastAsia"/>
          <w:color w:val="000000" w:themeColor="text1"/>
          <w:sz w:val="24"/>
          <w:szCs w:val="24"/>
        </w:rPr>
        <w:t>（1）</w:t>
      </w:r>
      <w:r w:rsidR="0049355C" w:rsidRPr="00EA612D">
        <w:rPr>
          <w:rFonts w:asciiTheme="minorEastAsia" w:hAnsiTheme="minorEastAsia" w:cs="Times New Roman"/>
          <w:color w:val="000000" w:themeColor="text1"/>
          <w:sz w:val="24"/>
          <w:szCs w:val="24"/>
        </w:rPr>
        <w:t>相关或有事项未确认预计负债</w:t>
      </w:r>
    </w:p>
    <w:p w:rsidR="0049355C" w:rsidRPr="00EA612D" w:rsidRDefault="0019511F" w:rsidP="00F663C7">
      <w:pPr>
        <w:spacing w:beforeLines="50" w:before="156" w:afterLines="50" w:after="156" w:line="360" w:lineRule="auto"/>
        <w:ind w:leftChars="50" w:left="105" w:rightChars="50" w:right="105" w:firstLineChars="200" w:firstLine="480"/>
        <w:rPr>
          <w:rFonts w:asciiTheme="minorEastAsia" w:hAnsiTheme="minorEastAsia" w:cs="Times New Roman"/>
          <w:color w:val="000000" w:themeColor="text1"/>
          <w:sz w:val="24"/>
          <w:szCs w:val="24"/>
        </w:rPr>
      </w:pPr>
      <w:r w:rsidRPr="00EA612D">
        <w:rPr>
          <w:rFonts w:asciiTheme="minorEastAsia" w:hAnsiTheme="minorEastAsia" w:cs="Times New Roman" w:hint="eastAsia"/>
          <w:color w:val="000000" w:themeColor="text1"/>
          <w:sz w:val="24"/>
          <w:szCs w:val="24"/>
        </w:rPr>
        <w:t>（2）</w:t>
      </w:r>
      <w:r w:rsidR="0049355C" w:rsidRPr="00EA612D">
        <w:rPr>
          <w:rFonts w:asciiTheme="minorEastAsia" w:hAnsiTheme="minorEastAsia" w:cs="Times New Roman"/>
          <w:color w:val="000000" w:themeColor="text1"/>
          <w:sz w:val="24"/>
          <w:szCs w:val="24"/>
        </w:rPr>
        <w:t>未确认预计负债的依据及合理性</w:t>
      </w:r>
    </w:p>
    <w:p w:rsidR="0049355C" w:rsidRPr="00EA612D" w:rsidRDefault="0049355C" w:rsidP="00F663C7">
      <w:pPr>
        <w:pStyle w:val="a6"/>
        <w:spacing w:beforeLines="50" w:before="156" w:afterLines="50" w:after="156" w:line="360" w:lineRule="auto"/>
        <w:ind w:leftChars="50" w:left="105" w:rightChars="50" w:right="105" w:firstLine="480"/>
        <w:rPr>
          <w:rFonts w:asciiTheme="minorEastAsia" w:hAnsiTheme="minorEastAsia" w:cs="Times New Roman"/>
          <w:color w:val="000000" w:themeColor="text1"/>
          <w:sz w:val="24"/>
          <w:szCs w:val="24"/>
        </w:rPr>
      </w:pPr>
      <w:r w:rsidRPr="00EA612D">
        <w:rPr>
          <w:rFonts w:asciiTheme="minorEastAsia" w:hAnsiTheme="minorEastAsia" w:cs="宋体" w:hint="eastAsia"/>
          <w:color w:val="000000" w:themeColor="text1"/>
          <w:sz w:val="24"/>
          <w:szCs w:val="24"/>
        </w:rPr>
        <w:t>①</w:t>
      </w:r>
      <w:r w:rsidRPr="00EA612D">
        <w:rPr>
          <w:rFonts w:asciiTheme="minorEastAsia" w:hAnsiTheme="minorEastAsia" w:cs="Times New Roman"/>
          <w:color w:val="000000" w:themeColor="text1"/>
          <w:sz w:val="24"/>
          <w:szCs w:val="24"/>
        </w:rPr>
        <w:t>公司所披露的或有事项，7项重大诉讼均为</w:t>
      </w:r>
      <w:r w:rsidR="00683EEE" w:rsidRPr="00EA612D">
        <w:rPr>
          <w:rFonts w:asciiTheme="minorEastAsia" w:hAnsiTheme="minorEastAsia" w:cs="Times New Roman" w:hint="eastAsia"/>
          <w:color w:val="000000" w:themeColor="text1"/>
          <w:sz w:val="24"/>
          <w:szCs w:val="24"/>
        </w:rPr>
        <w:t>公</w:t>
      </w:r>
      <w:r w:rsidRPr="00EA612D">
        <w:rPr>
          <w:rFonts w:asciiTheme="minorEastAsia" w:hAnsiTheme="minorEastAsia" w:cs="Times New Roman"/>
          <w:color w:val="000000" w:themeColor="text1"/>
          <w:sz w:val="24"/>
          <w:szCs w:val="24"/>
        </w:rPr>
        <w:t>司起诉，公司已根据案件诉讼情况和</w:t>
      </w:r>
      <w:r w:rsidR="00683EEE" w:rsidRPr="00EA612D">
        <w:rPr>
          <w:rFonts w:asciiTheme="minorEastAsia" w:hAnsiTheme="minorEastAsia" w:cs="Times New Roman" w:hint="eastAsia"/>
          <w:color w:val="000000" w:themeColor="text1"/>
          <w:sz w:val="24"/>
          <w:szCs w:val="24"/>
        </w:rPr>
        <w:t>律师专项</w:t>
      </w:r>
      <w:r w:rsidRPr="00EA612D">
        <w:rPr>
          <w:rFonts w:asciiTheme="minorEastAsia" w:hAnsiTheme="minorEastAsia" w:cs="Times New Roman"/>
          <w:color w:val="000000" w:themeColor="text1"/>
          <w:sz w:val="24"/>
          <w:szCs w:val="24"/>
        </w:rPr>
        <w:t>意见，根据谨慎性原则合理计提坏账准备，不需要确认预计负债。</w:t>
      </w:r>
    </w:p>
    <w:p w:rsidR="0049355C" w:rsidRPr="00EA612D" w:rsidRDefault="0049355C" w:rsidP="00F663C7">
      <w:pPr>
        <w:pStyle w:val="a6"/>
        <w:spacing w:beforeLines="50" w:before="156" w:afterLines="50" w:after="156" w:line="360" w:lineRule="auto"/>
        <w:ind w:leftChars="50" w:left="105" w:rightChars="50" w:right="105" w:firstLine="480"/>
        <w:rPr>
          <w:rFonts w:asciiTheme="minorEastAsia" w:hAnsiTheme="minorEastAsia" w:cs="Times New Roman"/>
          <w:color w:val="000000" w:themeColor="text1"/>
          <w:sz w:val="24"/>
          <w:szCs w:val="24"/>
        </w:rPr>
      </w:pPr>
      <w:r w:rsidRPr="00EA612D">
        <w:rPr>
          <w:rFonts w:asciiTheme="minorEastAsia" w:hAnsiTheme="minorEastAsia" w:cs="宋体" w:hint="eastAsia"/>
          <w:color w:val="000000" w:themeColor="text1"/>
          <w:sz w:val="24"/>
          <w:szCs w:val="24"/>
        </w:rPr>
        <w:t>②</w:t>
      </w:r>
      <w:r w:rsidRPr="00EA612D">
        <w:rPr>
          <w:rFonts w:asciiTheme="minorEastAsia" w:hAnsiTheme="minorEastAsia" w:cs="Times New Roman"/>
          <w:color w:val="000000" w:themeColor="text1"/>
          <w:sz w:val="24"/>
          <w:szCs w:val="24"/>
        </w:rPr>
        <w:t>其他未结诉讼53起，其中</w:t>
      </w:r>
      <w:r w:rsidR="00683EEE" w:rsidRPr="00EA612D">
        <w:rPr>
          <w:rFonts w:asciiTheme="minorEastAsia" w:hAnsiTheme="minorEastAsia" w:cs="Times New Roman" w:hint="eastAsia"/>
          <w:color w:val="000000" w:themeColor="text1"/>
          <w:sz w:val="24"/>
          <w:szCs w:val="24"/>
        </w:rPr>
        <w:t>公</w:t>
      </w:r>
      <w:r w:rsidRPr="00EA612D">
        <w:rPr>
          <w:rFonts w:asciiTheme="minorEastAsia" w:hAnsiTheme="minorEastAsia" w:cs="Times New Roman"/>
          <w:color w:val="000000" w:themeColor="text1"/>
          <w:sz w:val="24"/>
          <w:szCs w:val="24"/>
        </w:rPr>
        <w:t>司起诉30起，涉及诉讼金额3,668.37万元，公司已根据案件诉讼情况</w:t>
      </w:r>
      <w:r w:rsidR="00683EEE" w:rsidRPr="00EA612D">
        <w:rPr>
          <w:rFonts w:asciiTheme="minorEastAsia" w:hAnsiTheme="minorEastAsia" w:cs="Times New Roman" w:hint="eastAsia"/>
          <w:color w:val="000000" w:themeColor="text1"/>
          <w:sz w:val="24"/>
          <w:szCs w:val="24"/>
        </w:rPr>
        <w:t>和部分案件律师专项意见，</w:t>
      </w:r>
      <w:r w:rsidRPr="00EA612D">
        <w:rPr>
          <w:rFonts w:asciiTheme="minorEastAsia" w:hAnsiTheme="minorEastAsia" w:cs="Times New Roman"/>
          <w:color w:val="000000" w:themeColor="text1"/>
          <w:sz w:val="24"/>
          <w:szCs w:val="24"/>
        </w:rPr>
        <w:t>合理计提坏账准备；其中</w:t>
      </w:r>
      <w:r w:rsidR="00683EEE" w:rsidRPr="00EA612D">
        <w:rPr>
          <w:rFonts w:asciiTheme="minorEastAsia" w:hAnsiTheme="minorEastAsia" w:cs="Times New Roman" w:hint="eastAsia"/>
          <w:color w:val="000000" w:themeColor="text1"/>
          <w:sz w:val="24"/>
          <w:szCs w:val="24"/>
        </w:rPr>
        <w:t>公</w:t>
      </w:r>
      <w:r w:rsidRPr="00EA612D">
        <w:rPr>
          <w:rFonts w:asciiTheme="minorEastAsia" w:hAnsiTheme="minorEastAsia" w:cs="Times New Roman"/>
          <w:color w:val="000000" w:themeColor="text1"/>
          <w:sz w:val="24"/>
          <w:szCs w:val="24"/>
        </w:rPr>
        <w:t>司被诉23起，涉及诉讼金额596.32万元，目前处于待开庭、</w:t>
      </w:r>
      <w:proofErr w:type="gramStart"/>
      <w:r w:rsidRPr="00EA612D">
        <w:rPr>
          <w:rFonts w:asciiTheme="minorEastAsia" w:hAnsiTheme="minorEastAsia" w:cs="Times New Roman"/>
          <w:color w:val="000000" w:themeColor="text1"/>
          <w:sz w:val="24"/>
          <w:szCs w:val="24"/>
        </w:rPr>
        <w:t>待仲裁</w:t>
      </w:r>
      <w:proofErr w:type="gramEnd"/>
      <w:r w:rsidRPr="00EA612D">
        <w:rPr>
          <w:rFonts w:asciiTheme="minorEastAsia" w:hAnsiTheme="minorEastAsia" w:cs="Times New Roman"/>
          <w:color w:val="000000" w:themeColor="text1"/>
          <w:sz w:val="24"/>
          <w:szCs w:val="24"/>
        </w:rPr>
        <w:t>或审理中，截止目前并无明确证据表明公司会败诉或需要赔偿，公司暂未确认预计负债。</w:t>
      </w:r>
    </w:p>
    <w:p w:rsidR="006B2EE6" w:rsidRPr="00EA612D" w:rsidRDefault="006B2EE6" w:rsidP="00F663C7">
      <w:pPr>
        <w:pStyle w:val="Default"/>
        <w:spacing w:beforeLines="50" w:before="156" w:afterLines="50" w:after="156" w:line="360" w:lineRule="auto"/>
        <w:ind w:leftChars="50" w:left="105" w:rightChars="50" w:right="105" w:firstLineChars="200" w:firstLine="482"/>
        <w:rPr>
          <w:rFonts w:asciiTheme="minorEastAsia" w:hAnsiTheme="minorEastAsia" w:cs="Times New Roman"/>
          <w:b/>
          <w:color w:val="000000" w:themeColor="text1"/>
        </w:rPr>
      </w:pPr>
      <w:r w:rsidRPr="00EA612D">
        <w:rPr>
          <w:rFonts w:asciiTheme="minorEastAsia" w:hAnsiTheme="minorEastAsia" w:cs="Times New Roman"/>
          <w:b/>
          <w:color w:val="000000" w:themeColor="text1"/>
        </w:rPr>
        <w:t>10.年报披露，公司副总经理李珠袁、副总经理孙加兴报告期内存在在公司关联方大唐移动通信设备、电信科学技术研究院领取薪酬的情况，公司称该笔薪酬系原任职单位的递延发放的历时年度奖金。请说明相关高管在关联方领</w:t>
      </w:r>
      <w:r w:rsidRPr="00EA612D">
        <w:rPr>
          <w:rFonts w:asciiTheme="minorEastAsia" w:hAnsiTheme="minorEastAsia" w:cs="Times New Roman"/>
          <w:b/>
          <w:color w:val="000000" w:themeColor="text1"/>
        </w:rPr>
        <w:lastRenderedPageBreak/>
        <w:t>取报酬的原因、时间、金额，是否为持续取得，是否违反上市公司</w:t>
      </w:r>
      <w:proofErr w:type="gramStart"/>
      <w:r w:rsidRPr="00EA612D">
        <w:rPr>
          <w:rFonts w:asciiTheme="minorEastAsia" w:hAnsiTheme="minorEastAsia" w:cs="Times New Roman"/>
          <w:b/>
          <w:color w:val="000000" w:themeColor="text1"/>
        </w:rPr>
        <w:t>董监高兼职</w:t>
      </w:r>
      <w:proofErr w:type="gramEnd"/>
      <w:r w:rsidRPr="00EA612D">
        <w:rPr>
          <w:rFonts w:asciiTheme="minorEastAsia" w:hAnsiTheme="minorEastAsia" w:cs="Times New Roman"/>
          <w:b/>
          <w:color w:val="000000" w:themeColor="text1"/>
        </w:rPr>
        <w:t>的相关规定。</w:t>
      </w:r>
    </w:p>
    <w:p w:rsidR="00FC5BBF" w:rsidRPr="00EA612D" w:rsidRDefault="00FC5BBF" w:rsidP="00FC5BBF">
      <w:pPr>
        <w:spacing w:beforeLines="50" w:before="156" w:afterLines="50" w:after="156" w:line="360" w:lineRule="auto"/>
        <w:ind w:leftChars="50" w:left="105" w:rightChars="50" w:right="105" w:firstLineChars="200" w:firstLine="482"/>
        <w:rPr>
          <w:rFonts w:asciiTheme="minorEastAsia" w:hAnsiTheme="minorEastAsia" w:cs="Times New Roman"/>
          <w:color w:val="000000" w:themeColor="text1"/>
          <w:sz w:val="24"/>
          <w:szCs w:val="24"/>
        </w:rPr>
      </w:pPr>
      <w:r w:rsidRPr="00EA612D">
        <w:rPr>
          <w:rFonts w:asciiTheme="minorEastAsia" w:hAnsiTheme="minorEastAsia" w:cs="Times New Roman"/>
          <w:b/>
          <w:color w:val="000000" w:themeColor="text1"/>
          <w:sz w:val="24"/>
          <w:szCs w:val="24"/>
        </w:rPr>
        <w:t>公司回复：</w:t>
      </w:r>
    </w:p>
    <w:p w:rsidR="006B2EE6" w:rsidRPr="00EA612D" w:rsidRDefault="006B2EE6" w:rsidP="00F663C7">
      <w:pPr>
        <w:spacing w:beforeLines="50" w:before="156" w:afterLines="50" w:after="156" w:line="360" w:lineRule="auto"/>
        <w:ind w:leftChars="50" w:left="105" w:rightChars="50" w:right="105" w:firstLine="480"/>
        <w:rPr>
          <w:rFonts w:asciiTheme="minorEastAsia" w:hAnsiTheme="minorEastAsia" w:cs="Times New Roman"/>
          <w:color w:val="000000" w:themeColor="text1"/>
          <w:sz w:val="24"/>
          <w:szCs w:val="24"/>
        </w:rPr>
      </w:pPr>
      <w:r w:rsidRPr="00EA612D">
        <w:rPr>
          <w:rFonts w:asciiTheme="minorEastAsia" w:hAnsiTheme="minorEastAsia" w:cs="Times New Roman"/>
          <w:color w:val="000000" w:themeColor="text1"/>
          <w:sz w:val="24"/>
          <w:szCs w:val="24"/>
        </w:rPr>
        <w:t>公司副总经理李珠袁，2009年12月至2016年2月先后任公司关联方（大唐移动通信设备有限公司）总经理、副董事长，在此期间每年持续取得奖金，李珠袁于2016年12月领取原任职单位（大唐移动通信设备有限公司）发放的2013-2014</w:t>
      </w:r>
      <w:r w:rsidR="005A05E5" w:rsidRPr="00EA612D">
        <w:rPr>
          <w:rFonts w:asciiTheme="minorEastAsia" w:hAnsiTheme="minorEastAsia" w:cs="Times New Roman"/>
          <w:color w:val="000000" w:themeColor="text1"/>
          <w:sz w:val="24"/>
          <w:szCs w:val="24"/>
        </w:rPr>
        <w:t>年</w:t>
      </w:r>
      <w:r w:rsidR="005A05E5" w:rsidRPr="00EA612D">
        <w:rPr>
          <w:rFonts w:asciiTheme="minorEastAsia" w:hAnsiTheme="minorEastAsia" w:cs="Times New Roman" w:hint="eastAsia"/>
          <w:color w:val="000000" w:themeColor="text1"/>
          <w:sz w:val="24"/>
          <w:szCs w:val="24"/>
        </w:rPr>
        <w:t>递延</w:t>
      </w:r>
      <w:r w:rsidRPr="00EA612D">
        <w:rPr>
          <w:rFonts w:asciiTheme="minorEastAsia" w:hAnsiTheme="minorEastAsia" w:cs="Times New Roman"/>
          <w:color w:val="000000" w:themeColor="text1"/>
          <w:sz w:val="24"/>
          <w:szCs w:val="24"/>
        </w:rPr>
        <w:t>奖金38,500元（2013-2014期间部分奖金已于考核后当期兑现）。2017年1月24日起，李珠袁开始任公司副总经理，未违反上市公司</w:t>
      </w:r>
      <w:proofErr w:type="gramStart"/>
      <w:r w:rsidRPr="00EA612D">
        <w:rPr>
          <w:rFonts w:asciiTheme="minorEastAsia" w:hAnsiTheme="minorEastAsia" w:cs="Times New Roman"/>
          <w:color w:val="000000" w:themeColor="text1"/>
          <w:sz w:val="24"/>
          <w:szCs w:val="24"/>
        </w:rPr>
        <w:t>董监高兼职</w:t>
      </w:r>
      <w:proofErr w:type="gramEnd"/>
      <w:r w:rsidRPr="00EA612D">
        <w:rPr>
          <w:rFonts w:asciiTheme="minorEastAsia" w:hAnsiTheme="minorEastAsia" w:cs="Times New Roman"/>
          <w:color w:val="000000" w:themeColor="text1"/>
          <w:sz w:val="24"/>
          <w:szCs w:val="24"/>
        </w:rPr>
        <w:t>的规定。</w:t>
      </w:r>
    </w:p>
    <w:p w:rsidR="000656A1" w:rsidRPr="00EA612D" w:rsidRDefault="006B2EE6" w:rsidP="00F663C7">
      <w:pPr>
        <w:spacing w:beforeLines="50" w:before="156" w:afterLines="50" w:after="156" w:line="360" w:lineRule="auto"/>
        <w:ind w:leftChars="50" w:left="105" w:rightChars="50" w:right="105" w:firstLineChars="200" w:firstLine="480"/>
        <w:jc w:val="left"/>
        <w:rPr>
          <w:rFonts w:asciiTheme="minorEastAsia" w:hAnsiTheme="minorEastAsia" w:cs="Times New Roman"/>
          <w:bCs/>
          <w:color w:val="000000" w:themeColor="text1"/>
          <w:sz w:val="24"/>
          <w:szCs w:val="24"/>
        </w:rPr>
      </w:pPr>
      <w:r w:rsidRPr="00EA612D">
        <w:rPr>
          <w:rFonts w:asciiTheme="minorEastAsia" w:hAnsiTheme="minorEastAsia" w:cs="Times New Roman"/>
          <w:color w:val="000000" w:themeColor="text1"/>
          <w:sz w:val="24"/>
          <w:szCs w:val="24"/>
        </w:rPr>
        <w:t>公司副总经理孙加兴，2014年11月至2016年1月任公司关联方（电信科学技术研究院）集成电路创新中心副总经理，在此期间每年持续取得奖金，孙加兴于2016年12月领取原任职单位（电信科学技术研究院）发放的2015年度全额奖金共计153,385元。2016年1月21日起，孙加兴开始任公司副总经理，未违反上市公司</w:t>
      </w:r>
      <w:proofErr w:type="gramStart"/>
      <w:r w:rsidRPr="00EA612D">
        <w:rPr>
          <w:rFonts w:asciiTheme="minorEastAsia" w:hAnsiTheme="minorEastAsia" w:cs="Times New Roman"/>
          <w:color w:val="000000" w:themeColor="text1"/>
          <w:sz w:val="24"/>
          <w:szCs w:val="24"/>
        </w:rPr>
        <w:t>董监高兼职</w:t>
      </w:r>
      <w:proofErr w:type="gramEnd"/>
      <w:r w:rsidRPr="00EA612D">
        <w:rPr>
          <w:rFonts w:asciiTheme="minorEastAsia" w:hAnsiTheme="minorEastAsia" w:cs="Times New Roman"/>
          <w:color w:val="000000" w:themeColor="text1"/>
          <w:sz w:val="24"/>
          <w:szCs w:val="24"/>
        </w:rPr>
        <w:t>的规定。</w:t>
      </w:r>
    </w:p>
    <w:p w:rsidR="00643C9A" w:rsidRPr="00EA612D" w:rsidRDefault="00643C9A" w:rsidP="00F663C7">
      <w:pPr>
        <w:adjustRightInd w:val="0"/>
        <w:snapToGrid w:val="0"/>
        <w:spacing w:beforeLines="50" w:before="156" w:afterLines="50" w:after="156" w:line="360" w:lineRule="auto"/>
        <w:ind w:leftChars="50" w:left="105" w:rightChars="50" w:right="105" w:firstLineChars="200" w:firstLine="480"/>
        <w:rPr>
          <w:rFonts w:asciiTheme="minorEastAsia" w:hAnsiTheme="minorEastAsia"/>
          <w:sz w:val="24"/>
          <w:szCs w:val="24"/>
        </w:rPr>
      </w:pPr>
      <w:r w:rsidRPr="00EA612D">
        <w:rPr>
          <w:rFonts w:asciiTheme="minorEastAsia" w:hAnsiTheme="minorEastAsia" w:hint="eastAsia"/>
          <w:sz w:val="24"/>
          <w:szCs w:val="24"/>
        </w:rPr>
        <w:t>特此公告。</w:t>
      </w:r>
    </w:p>
    <w:p w:rsidR="00643C9A" w:rsidRPr="00EA612D" w:rsidRDefault="00643C9A" w:rsidP="00643C9A">
      <w:pPr>
        <w:adjustRightInd w:val="0"/>
        <w:snapToGrid w:val="0"/>
        <w:spacing w:line="360" w:lineRule="auto"/>
        <w:jc w:val="right"/>
        <w:rPr>
          <w:rFonts w:ascii="宋体" w:hAnsi="宋体"/>
          <w:sz w:val="24"/>
        </w:rPr>
      </w:pPr>
    </w:p>
    <w:p w:rsidR="00643C9A" w:rsidRPr="00EA612D" w:rsidRDefault="00643C9A" w:rsidP="00643C9A">
      <w:pPr>
        <w:adjustRightInd w:val="0"/>
        <w:snapToGrid w:val="0"/>
        <w:spacing w:line="360" w:lineRule="auto"/>
        <w:jc w:val="right"/>
        <w:rPr>
          <w:rFonts w:ascii="宋体" w:hAnsi="宋体"/>
          <w:sz w:val="24"/>
        </w:rPr>
      </w:pPr>
      <w:r w:rsidRPr="00EA612D">
        <w:rPr>
          <w:rFonts w:ascii="宋体" w:hAnsi="宋体" w:hint="eastAsia"/>
          <w:sz w:val="24"/>
        </w:rPr>
        <w:t>大唐电信科技股份有限公司董事会</w:t>
      </w:r>
    </w:p>
    <w:p w:rsidR="00643C9A" w:rsidRPr="00EA612D" w:rsidRDefault="00643C9A" w:rsidP="00643C9A">
      <w:pPr>
        <w:adjustRightInd w:val="0"/>
        <w:snapToGrid w:val="0"/>
        <w:spacing w:line="360" w:lineRule="auto"/>
        <w:jc w:val="right"/>
        <w:rPr>
          <w:rFonts w:ascii="宋体" w:hAnsi="宋体"/>
          <w:sz w:val="24"/>
        </w:rPr>
      </w:pPr>
      <w:r w:rsidRPr="00EA612D">
        <w:rPr>
          <w:rFonts w:ascii="宋体" w:hAnsi="宋体"/>
          <w:sz w:val="24"/>
        </w:rPr>
        <w:t>20</w:t>
      </w:r>
      <w:r w:rsidRPr="00EA612D">
        <w:rPr>
          <w:rFonts w:ascii="宋体" w:hAnsi="宋体" w:hint="eastAsia"/>
          <w:sz w:val="24"/>
        </w:rPr>
        <w:t>17</w:t>
      </w:r>
      <w:r w:rsidRPr="00EA612D">
        <w:rPr>
          <w:rFonts w:ascii="宋体" w:hAnsi="宋体"/>
          <w:sz w:val="24"/>
        </w:rPr>
        <w:t>年</w:t>
      </w:r>
      <w:r w:rsidRPr="00EA612D">
        <w:rPr>
          <w:rFonts w:ascii="宋体" w:hAnsi="宋体" w:hint="eastAsia"/>
          <w:sz w:val="24"/>
        </w:rPr>
        <w:t>5</w:t>
      </w:r>
      <w:r w:rsidRPr="00EA612D">
        <w:rPr>
          <w:rFonts w:ascii="宋体" w:hAnsi="宋体"/>
          <w:sz w:val="24"/>
        </w:rPr>
        <w:t>月</w:t>
      </w:r>
      <w:r w:rsidRPr="00EA612D">
        <w:rPr>
          <w:rFonts w:ascii="宋体" w:hAnsi="宋体" w:hint="eastAsia"/>
          <w:sz w:val="24"/>
        </w:rPr>
        <w:t>2</w:t>
      </w:r>
      <w:r w:rsidR="004B38C5">
        <w:rPr>
          <w:rFonts w:ascii="宋体" w:hAnsi="宋体" w:hint="eastAsia"/>
          <w:sz w:val="24"/>
        </w:rPr>
        <w:t>7</w:t>
      </w:r>
      <w:r w:rsidRPr="00EA612D">
        <w:rPr>
          <w:rFonts w:ascii="宋体" w:hAnsi="宋体"/>
          <w:sz w:val="24"/>
        </w:rPr>
        <w:t>日</w:t>
      </w:r>
    </w:p>
    <w:p w:rsidR="00117A61" w:rsidRPr="00EA612D" w:rsidRDefault="00117A61">
      <w:pPr>
        <w:rPr>
          <w:rFonts w:ascii="Times New Roman" w:hAnsi="Times New Roman" w:cs="Times New Roman"/>
          <w:color w:val="000000" w:themeColor="text1"/>
          <w:sz w:val="28"/>
          <w:szCs w:val="28"/>
        </w:rPr>
      </w:pPr>
    </w:p>
    <w:sectPr w:rsidR="00117A61" w:rsidRPr="00EA612D">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E48" w:rsidRDefault="00006E48" w:rsidP="000656A1">
      <w:r>
        <w:separator/>
      </w:r>
    </w:p>
  </w:endnote>
  <w:endnote w:type="continuationSeparator" w:id="0">
    <w:p w:rsidR="00006E48" w:rsidRDefault="00006E48" w:rsidP="00065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3565302"/>
      <w:docPartObj>
        <w:docPartGallery w:val="Page Numbers (Bottom of Page)"/>
        <w:docPartUnique/>
      </w:docPartObj>
    </w:sdtPr>
    <w:sdtEndPr/>
    <w:sdtContent>
      <w:p w:rsidR="0000285B" w:rsidRDefault="0000285B" w:rsidP="006C3871">
        <w:pPr>
          <w:pStyle w:val="a4"/>
          <w:jc w:val="center"/>
        </w:pPr>
        <w:r>
          <w:rPr>
            <w:rFonts w:hint="eastAsia"/>
          </w:rPr>
          <w:t>第</w:t>
        </w:r>
        <w:r>
          <w:fldChar w:fldCharType="begin"/>
        </w:r>
        <w:r>
          <w:instrText>PAGE   \* MERGEFORMAT</w:instrText>
        </w:r>
        <w:r>
          <w:fldChar w:fldCharType="separate"/>
        </w:r>
        <w:r w:rsidR="00CB5AFA" w:rsidRPr="00CB5AFA">
          <w:rPr>
            <w:noProof/>
            <w:lang w:val="zh-CN"/>
          </w:rPr>
          <w:t>1</w:t>
        </w:r>
        <w:r>
          <w:fldChar w:fldCharType="end"/>
        </w:r>
        <w:r>
          <w:rPr>
            <w:rFonts w:hint="eastAsia"/>
          </w:rPr>
          <w:t>页</w:t>
        </w:r>
      </w:p>
    </w:sdtContent>
  </w:sdt>
  <w:p w:rsidR="0000285B" w:rsidRDefault="0000285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E48" w:rsidRDefault="00006E48" w:rsidP="000656A1">
      <w:r>
        <w:separator/>
      </w:r>
    </w:p>
  </w:footnote>
  <w:footnote w:type="continuationSeparator" w:id="0">
    <w:p w:rsidR="00006E48" w:rsidRDefault="00006E48" w:rsidP="000656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765E"/>
    <w:multiLevelType w:val="hybridMultilevel"/>
    <w:tmpl w:val="77206CEC"/>
    <w:lvl w:ilvl="0" w:tplc="8F36A69C">
      <w:start w:val="1"/>
      <w:numFmt w:val="decimalEnclosedCircle"/>
      <w:lvlText w:val="%1"/>
      <w:lvlJc w:val="left"/>
      <w:pPr>
        <w:ind w:left="420" w:hanging="420"/>
      </w:pPr>
      <w:rPr>
        <w:rFonts w:ascii="仿宋" w:eastAsia="仿宋" w:hAnsi="仿宋"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0747E70"/>
    <w:multiLevelType w:val="hybridMultilevel"/>
    <w:tmpl w:val="93B2A7F0"/>
    <w:lvl w:ilvl="0" w:tplc="4316F22E">
      <w:start w:val="1"/>
      <w:numFmt w:val="japaneseCounting"/>
      <w:lvlText w:val="（%1）"/>
      <w:lvlJc w:val="left"/>
      <w:pPr>
        <w:ind w:left="1452" w:hanging="885"/>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nsid w:val="015F3F3A"/>
    <w:multiLevelType w:val="hybridMultilevel"/>
    <w:tmpl w:val="C8587074"/>
    <w:lvl w:ilvl="0" w:tplc="5226046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3CC5958"/>
    <w:multiLevelType w:val="hybridMultilevel"/>
    <w:tmpl w:val="92FC4B22"/>
    <w:lvl w:ilvl="0" w:tplc="A770EDDC">
      <w:start w:val="1"/>
      <w:numFmt w:val="decimal"/>
      <w:lvlText w:val="（%1）"/>
      <w:lvlJc w:val="left"/>
      <w:pPr>
        <w:ind w:left="1004"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81C4EE1"/>
    <w:multiLevelType w:val="hybridMultilevel"/>
    <w:tmpl w:val="1B3E605C"/>
    <w:lvl w:ilvl="0" w:tplc="40EE3560">
      <w:start w:val="1"/>
      <w:numFmt w:val="decimalEnclosedCircle"/>
      <w:lvlText w:val="注%1"/>
      <w:lvlJc w:val="left"/>
      <w:pPr>
        <w:ind w:left="360" w:hanging="360"/>
      </w:pPr>
      <w:rPr>
        <w:rFonts w:asciiTheme="minorHAnsi" w:eastAsiaTheme="minorEastAsia"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4C6C8C"/>
    <w:multiLevelType w:val="hybridMultilevel"/>
    <w:tmpl w:val="1B3E605C"/>
    <w:lvl w:ilvl="0" w:tplc="40EE3560">
      <w:start w:val="1"/>
      <w:numFmt w:val="decimalEnclosedCircle"/>
      <w:lvlText w:val="注%1"/>
      <w:lvlJc w:val="left"/>
      <w:pPr>
        <w:ind w:left="360" w:hanging="360"/>
      </w:pPr>
      <w:rPr>
        <w:rFonts w:asciiTheme="minorHAnsi" w:eastAsiaTheme="minorEastAsia"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EDD5AD8"/>
    <w:multiLevelType w:val="hybridMultilevel"/>
    <w:tmpl w:val="B6D0FFEA"/>
    <w:lvl w:ilvl="0" w:tplc="3154B5CA">
      <w:start w:val="1"/>
      <w:numFmt w:val="decimalEnclosedCircle"/>
      <w:lvlText w:val="注%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F820760"/>
    <w:multiLevelType w:val="hybridMultilevel"/>
    <w:tmpl w:val="87D0E0AC"/>
    <w:lvl w:ilvl="0" w:tplc="1DA6E696">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223E54D5"/>
    <w:multiLevelType w:val="hybridMultilevel"/>
    <w:tmpl w:val="DCD2E16A"/>
    <w:lvl w:ilvl="0" w:tplc="E45C28EA">
      <w:start w:val="1"/>
      <w:numFmt w:val="decimalEnclosedCircle"/>
      <w:lvlText w:val="注%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2BB2755"/>
    <w:multiLevelType w:val="hybridMultilevel"/>
    <w:tmpl w:val="3A66E416"/>
    <w:lvl w:ilvl="0" w:tplc="8F36A69C">
      <w:start w:val="1"/>
      <w:numFmt w:val="decimalEnclosedCircle"/>
      <w:lvlText w:val="%1"/>
      <w:lvlJc w:val="left"/>
      <w:pPr>
        <w:ind w:left="1854" w:hanging="720"/>
      </w:pPr>
      <w:rPr>
        <w:rFonts w:ascii="仿宋" w:eastAsia="仿宋" w:hAnsi="仿宋"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F4F1560"/>
    <w:multiLevelType w:val="hybridMultilevel"/>
    <w:tmpl w:val="9564C766"/>
    <w:lvl w:ilvl="0" w:tplc="2B026F48">
      <w:start w:val="1"/>
      <w:numFmt w:val="decimalEnclosedCircle"/>
      <w:lvlText w:val="注%1"/>
      <w:lvlJc w:val="left"/>
      <w:pPr>
        <w:ind w:left="720" w:hanging="360"/>
      </w:pPr>
      <w:rPr>
        <w:rFonts w:asciiTheme="minorEastAsia" w:eastAsiaTheme="minorEastAsia" w:hAnsiTheme="minorEastAsia" w:cs="Times New Roman" w:hint="default"/>
        <w:sz w:val="16"/>
        <w:szCs w:val="16"/>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nsid w:val="318C115F"/>
    <w:multiLevelType w:val="hybridMultilevel"/>
    <w:tmpl w:val="70A85346"/>
    <w:lvl w:ilvl="0" w:tplc="15B29CD8">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3911724E"/>
    <w:multiLevelType w:val="hybridMultilevel"/>
    <w:tmpl w:val="0C3CC898"/>
    <w:lvl w:ilvl="0" w:tplc="A8704BEC">
      <w:start w:val="1"/>
      <w:numFmt w:val="decimalEnclosedCircle"/>
      <w:lvlText w:val="%1"/>
      <w:lvlJc w:val="left"/>
      <w:pPr>
        <w:ind w:left="840" w:hanging="360"/>
      </w:pPr>
      <w:rPr>
        <w:rFonts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DBA461E"/>
    <w:multiLevelType w:val="hybridMultilevel"/>
    <w:tmpl w:val="F0C44018"/>
    <w:lvl w:ilvl="0" w:tplc="E924B546">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nsid w:val="3FED1631"/>
    <w:multiLevelType w:val="hybridMultilevel"/>
    <w:tmpl w:val="E042C104"/>
    <w:lvl w:ilvl="0" w:tplc="45B6B3B0">
      <w:start w:val="1"/>
      <w:numFmt w:val="decimalEnclosedCircle"/>
      <w:lvlText w:val="注%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6AA2BF5"/>
    <w:multiLevelType w:val="hybridMultilevel"/>
    <w:tmpl w:val="92FC4B22"/>
    <w:lvl w:ilvl="0" w:tplc="A770EDDC">
      <w:start w:val="1"/>
      <w:numFmt w:val="decimal"/>
      <w:lvlText w:val="（%1）"/>
      <w:lvlJc w:val="left"/>
      <w:pPr>
        <w:ind w:left="1004"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6ED2C7F"/>
    <w:multiLevelType w:val="hybridMultilevel"/>
    <w:tmpl w:val="1D0EF1E2"/>
    <w:lvl w:ilvl="0" w:tplc="12EAF79E">
      <w:start w:val="1"/>
      <w:numFmt w:val="decimalEnclosedCircle"/>
      <w:lvlText w:val="%1"/>
      <w:lvlJc w:val="left"/>
      <w:pPr>
        <w:ind w:left="1025" w:hanging="360"/>
      </w:pPr>
      <w:rPr>
        <w:rFonts w:hint="default"/>
      </w:rPr>
    </w:lvl>
    <w:lvl w:ilvl="1" w:tplc="04090019" w:tentative="1">
      <w:start w:val="1"/>
      <w:numFmt w:val="lowerLetter"/>
      <w:lvlText w:val="%2)"/>
      <w:lvlJc w:val="left"/>
      <w:pPr>
        <w:ind w:left="1505" w:hanging="420"/>
      </w:pPr>
    </w:lvl>
    <w:lvl w:ilvl="2" w:tplc="0409001B" w:tentative="1">
      <w:start w:val="1"/>
      <w:numFmt w:val="lowerRoman"/>
      <w:lvlText w:val="%3."/>
      <w:lvlJc w:val="right"/>
      <w:pPr>
        <w:ind w:left="1925" w:hanging="420"/>
      </w:pPr>
    </w:lvl>
    <w:lvl w:ilvl="3" w:tplc="0409000F" w:tentative="1">
      <w:start w:val="1"/>
      <w:numFmt w:val="decimal"/>
      <w:lvlText w:val="%4."/>
      <w:lvlJc w:val="left"/>
      <w:pPr>
        <w:ind w:left="2345" w:hanging="420"/>
      </w:pPr>
    </w:lvl>
    <w:lvl w:ilvl="4" w:tplc="04090019" w:tentative="1">
      <w:start w:val="1"/>
      <w:numFmt w:val="lowerLetter"/>
      <w:lvlText w:val="%5)"/>
      <w:lvlJc w:val="left"/>
      <w:pPr>
        <w:ind w:left="2765" w:hanging="420"/>
      </w:pPr>
    </w:lvl>
    <w:lvl w:ilvl="5" w:tplc="0409001B" w:tentative="1">
      <w:start w:val="1"/>
      <w:numFmt w:val="lowerRoman"/>
      <w:lvlText w:val="%6."/>
      <w:lvlJc w:val="right"/>
      <w:pPr>
        <w:ind w:left="3185" w:hanging="420"/>
      </w:pPr>
    </w:lvl>
    <w:lvl w:ilvl="6" w:tplc="0409000F" w:tentative="1">
      <w:start w:val="1"/>
      <w:numFmt w:val="decimal"/>
      <w:lvlText w:val="%7."/>
      <w:lvlJc w:val="left"/>
      <w:pPr>
        <w:ind w:left="3605" w:hanging="420"/>
      </w:pPr>
    </w:lvl>
    <w:lvl w:ilvl="7" w:tplc="04090019" w:tentative="1">
      <w:start w:val="1"/>
      <w:numFmt w:val="lowerLetter"/>
      <w:lvlText w:val="%8)"/>
      <w:lvlJc w:val="left"/>
      <w:pPr>
        <w:ind w:left="4025" w:hanging="420"/>
      </w:pPr>
    </w:lvl>
    <w:lvl w:ilvl="8" w:tplc="0409001B" w:tentative="1">
      <w:start w:val="1"/>
      <w:numFmt w:val="lowerRoman"/>
      <w:lvlText w:val="%9."/>
      <w:lvlJc w:val="right"/>
      <w:pPr>
        <w:ind w:left="4445" w:hanging="420"/>
      </w:pPr>
    </w:lvl>
  </w:abstractNum>
  <w:abstractNum w:abstractNumId="17">
    <w:nsid w:val="48EF30F2"/>
    <w:multiLevelType w:val="hybridMultilevel"/>
    <w:tmpl w:val="1B3E605C"/>
    <w:lvl w:ilvl="0" w:tplc="40EE3560">
      <w:start w:val="1"/>
      <w:numFmt w:val="decimalEnclosedCircle"/>
      <w:lvlText w:val="注%1"/>
      <w:lvlJc w:val="left"/>
      <w:pPr>
        <w:ind w:left="828" w:hanging="360"/>
      </w:pPr>
      <w:rPr>
        <w:rFonts w:asciiTheme="minorHAnsi" w:eastAsiaTheme="minorEastAsia" w:hAnsiTheme="minorHAnsi" w:cstheme="minorBidi" w:hint="default"/>
      </w:rPr>
    </w:lvl>
    <w:lvl w:ilvl="1" w:tplc="04090019" w:tentative="1">
      <w:start w:val="1"/>
      <w:numFmt w:val="lowerLetter"/>
      <w:lvlText w:val="%2)"/>
      <w:lvlJc w:val="left"/>
      <w:pPr>
        <w:ind w:left="1308" w:hanging="420"/>
      </w:pPr>
    </w:lvl>
    <w:lvl w:ilvl="2" w:tplc="0409001B" w:tentative="1">
      <w:start w:val="1"/>
      <w:numFmt w:val="lowerRoman"/>
      <w:lvlText w:val="%3."/>
      <w:lvlJc w:val="right"/>
      <w:pPr>
        <w:ind w:left="1728" w:hanging="420"/>
      </w:pPr>
    </w:lvl>
    <w:lvl w:ilvl="3" w:tplc="0409000F" w:tentative="1">
      <w:start w:val="1"/>
      <w:numFmt w:val="decimal"/>
      <w:lvlText w:val="%4."/>
      <w:lvlJc w:val="left"/>
      <w:pPr>
        <w:ind w:left="2148" w:hanging="420"/>
      </w:pPr>
    </w:lvl>
    <w:lvl w:ilvl="4" w:tplc="04090019" w:tentative="1">
      <w:start w:val="1"/>
      <w:numFmt w:val="lowerLetter"/>
      <w:lvlText w:val="%5)"/>
      <w:lvlJc w:val="left"/>
      <w:pPr>
        <w:ind w:left="2568" w:hanging="420"/>
      </w:pPr>
    </w:lvl>
    <w:lvl w:ilvl="5" w:tplc="0409001B" w:tentative="1">
      <w:start w:val="1"/>
      <w:numFmt w:val="lowerRoman"/>
      <w:lvlText w:val="%6."/>
      <w:lvlJc w:val="right"/>
      <w:pPr>
        <w:ind w:left="2988" w:hanging="420"/>
      </w:pPr>
    </w:lvl>
    <w:lvl w:ilvl="6" w:tplc="0409000F" w:tentative="1">
      <w:start w:val="1"/>
      <w:numFmt w:val="decimal"/>
      <w:lvlText w:val="%7."/>
      <w:lvlJc w:val="left"/>
      <w:pPr>
        <w:ind w:left="3408" w:hanging="420"/>
      </w:pPr>
    </w:lvl>
    <w:lvl w:ilvl="7" w:tplc="04090019" w:tentative="1">
      <w:start w:val="1"/>
      <w:numFmt w:val="lowerLetter"/>
      <w:lvlText w:val="%8)"/>
      <w:lvlJc w:val="left"/>
      <w:pPr>
        <w:ind w:left="3828" w:hanging="420"/>
      </w:pPr>
    </w:lvl>
    <w:lvl w:ilvl="8" w:tplc="0409001B" w:tentative="1">
      <w:start w:val="1"/>
      <w:numFmt w:val="lowerRoman"/>
      <w:lvlText w:val="%9."/>
      <w:lvlJc w:val="right"/>
      <w:pPr>
        <w:ind w:left="4248" w:hanging="420"/>
      </w:pPr>
    </w:lvl>
  </w:abstractNum>
  <w:abstractNum w:abstractNumId="18">
    <w:nsid w:val="4C50589B"/>
    <w:multiLevelType w:val="hybridMultilevel"/>
    <w:tmpl w:val="5F408E20"/>
    <w:lvl w:ilvl="0" w:tplc="D9FC3E16">
      <w:start w:val="1"/>
      <w:numFmt w:val="decimalEnclosedCircle"/>
      <w:lvlText w:val="注%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EA14854"/>
    <w:multiLevelType w:val="hybridMultilevel"/>
    <w:tmpl w:val="39FABF88"/>
    <w:lvl w:ilvl="0" w:tplc="34BA12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F275FCF"/>
    <w:multiLevelType w:val="hybridMultilevel"/>
    <w:tmpl w:val="D734642C"/>
    <w:lvl w:ilvl="0" w:tplc="2700A192">
      <w:start w:val="1"/>
      <w:numFmt w:val="decimalEnclosedCircle"/>
      <w:lvlText w:val="注%1"/>
      <w:lvlJc w:val="left"/>
      <w:pPr>
        <w:ind w:left="1280" w:hanging="720"/>
      </w:pPr>
      <w:rPr>
        <w:rFonts w:ascii="宋体" w:eastAsia="宋体" w:hAnsi="宋体" w:cs="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1">
    <w:nsid w:val="5AB47206"/>
    <w:multiLevelType w:val="hybridMultilevel"/>
    <w:tmpl w:val="2294D864"/>
    <w:lvl w:ilvl="0" w:tplc="0409001B">
      <w:start w:val="1"/>
      <w:numFmt w:val="lowerRoman"/>
      <w:lvlText w:val="%1."/>
      <w:lvlJc w:val="right"/>
      <w:pPr>
        <w:ind w:left="846" w:hanging="420"/>
      </w:p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22">
    <w:nsid w:val="6F4459BB"/>
    <w:multiLevelType w:val="hybridMultilevel"/>
    <w:tmpl w:val="FFDE748A"/>
    <w:lvl w:ilvl="0" w:tplc="CFA0E4BE">
      <w:start w:val="1"/>
      <w:numFmt w:val="decimalEnclosedCircle"/>
      <w:lvlText w:val="注%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A281C01"/>
    <w:multiLevelType w:val="hybridMultilevel"/>
    <w:tmpl w:val="57582F52"/>
    <w:lvl w:ilvl="0" w:tplc="F0C2FF58">
      <w:start w:val="1"/>
      <w:numFmt w:val="decimalEnclosedCircle"/>
      <w:lvlText w:val="注%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C0B0494"/>
    <w:multiLevelType w:val="hybridMultilevel"/>
    <w:tmpl w:val="1F86E182"/>
    <w:lvl w:ilvl="0" w:tplc="554E211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8"/>
  </w:num>
  <w:num w:numId="4">
    <w:abstractNumId w:val="14"/>
  </w:num>
  <w:num w:numId="5">
    <w:abstractNumId w:val="6"/>
  </w:num>
  <w:num w:numId="6">
    <w:abstractNumId w:val="18"/>
  </w:num>
  <w:num w:numId="7">
    <w:abstractNumId w:val="23"/>
  </w:num>
  <w:num w:numId="8">
    <w:abstractNumId w:val="22"/>
  </w:num>
  <w:num w:numId="9">
    <w:abstractNumId w:val="17"/>
  </w:num>
  <w:num w:numId="10">
    <w:abstractNumId w:val="3"/>
  </w:num>
  <w:num w:numId="11">
    <w:abstractNumId w:val="15"/>
  </w:num>
  <w:num w:numId="12">
    <w:abstractNumId w:val="1"/>
  </w:num>
  <w:num w:numId="13">
    <w:abstractNumId w:val="24"/>
  </w:num>
  <w:num w:numId="14">
    <w:abstractNumId w:val="19"/>
  </w:num>
  <w:num w:numId="15">
    <w:abstractNumId w:val="5"/>
  </w:num>
  <w:num w:numId="16">
    <w:abstractNumId w:val="9"/>
  </w:num>
  <w:num w:numId="17">
    <w:abstractNumId w:val="0"/>
  </w:num>
  <w:num w:numId="18">
    <w:abstractNumId w:val="10"/>
  </w:num>
  <w:num w:numId="19">
    <w:abstractNumId w:val="13"/>
  </w:num>
  <w:num w:numId="20">
    <w:abstractNumId w:val="7"/>
  </w:num>
  <w:num w:numId="21">
    <w:abstractNumId w:val="11"/>
  </w:num>
  <w:num w:numId="22">
    <w:abstractNumId w:val="21"/>
  </w:num>
  <w:num w:numId="23">
    <w:abstractNumId w:val="20"/>
  </w:num>
  <w:num w:numId="24">
    <w:abstractNumId w:val="16"/>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94F"/>
    <w:rsid w:val="0000285B"/>
    <w:rsid w:val="00006E48"/>
    <w:rsid w:val="00012F86"/>
    <w:rsid w:val="000217BB"/>
    <w:rsid w:val="00021CF9"/>
    <w:rsid w:val="000230C4"/>
    <w:rsid w:val="00037802"/>
    <w:rsid w:val="0006080B"/>
    <w:rsid w:val="000656A1"/>
    <w:rsid w:val="00096B94"/>
    <w:rsid w:val="000A1900"/>
    <w:rsid w:val="000A32B1"/>
    <w:rsid w:val="000B0296"/>
    <w:rsid w:val="000B298F"/>
    <w:rsid w:val="000B5BD5"/>
    <w:rsid w:val="000C3DAC"/>
    <w:rsid w:val="000E4402"/>
    <w:rsid w:val="000E4F24"/>
    <w:rsid w:val="000E5405"/>
    <w:rsid w:val="000E606B"/>
    <w:rsid w:val="000E7A1B"/>
    <w:rsid w:val="001129B2"/>
    <w:rsid w:val="00112AC3"/>
    <w:rsid w:val="001154A7"/>
    <w:rsid w:val="00117A61"/>
    <w:rsid w:val="00125F10"/>
    <w:rsid w:val="001369FD"/>
    <w:rsid w:val="00154976"/>
    <w:rsid w:val="00180C03"/>
    <w:rsid w:val="0018439D"/>
    <w:rsid w:val="0019511F"/>
    <w:rsid w:val="001A150E"/>
    <w:rsid w:val="001A6F44"/>
    <w:rsid w:val="001C2396"/>
    <w:rsid w:val="001D292F"/>
    <w:rsid w:val="001F51DE"/>
    <w:rsid w:val="001F67A3"/>
    <w:rsid w:val="001F6BFF"/>
    <w:rsid w:val="001F74AC"/>
    <w:rsid w:val="00220607"/>
    <w:rsid w:val="00220D12"/>
    <w:rsid w:val="002415B6"/>
    <w:rsid w:val="002765B3"/>
    <w:rsid w:val="002A5495"/>
    <w:rsid w:val="002B5C18"/>
    <w:rsid w:val="002E3996"/>
    <w:rsid w:val="00301644"/>
    <w:rsid w:val="00304BB9"/>
    <w:rsid w:val="00305371"/>
    <w:rsid w:val="003104C9"/>
    <w:rsid w:val="00313C46"/>
    <w:rsid w:val="00327CC6"/>
    <w:rsid w:val="00335CF9"/>
    <w:rsid w:val="00344637"/>
    <w:rsid w:val="00351766"/>
    <w:rsid w:val="00367297"/>
    <w:rsid w:val="003A2093"/>
    <w:rsid w:val="003D1974"/>
    <w:rsid w:val="003D21A5"/>
    <w:rsid w:val="004033F8"/>
    <w:rsid w:val="00407769"/>
    <w:rsid w:val="00412A82"/>
    <w:rsid w:val="004311F3"/>
    <w:rsid w:val="004317F0"/>
    <w:rsid w:val="00444EAF"/>
    <w:rsid w:val="004459C3"/>
    <w:rsid w:val="004611AB"/>
    <w:rsid w:val="0049355C"/>
    <w:rsid w:val="004A5F39"/>
    <w:rsid w:val="004B10A9"/>
    <w:rsid w:val="004B38C5"/>
    <w:rsid w:val="004C33E6"/>
    <w:rsid w:val="004C4A33"/>
    <w:rsid w:val="004E0ACD"/>
    <w:rsid w:val="004E4D65"/>
    <w:rsid w:val="00500E5D"/>
    <w:rsid w:val="00524CE7"/>
    <w:rsid w:val="0053713F"/>
    <w:rsid w:val="00541A0D"/>
    <w:rsid w:val="00570415"/>
    <w:rsid w:val="00572951"/>
    <w:rsid w:val="00581BEB"/>
    <w:rsid w:val="005847EB"/>
    <w:rsid w:val="00590A43"/>
    <w:rsid w:val="00595A82"/>
    <w:rsid w:val="005A05E5"/>
    <w:rsid w:val="005B387B"/>
    <w:rsid w:val="005B3E15"/>
    <w:rsid w:val="005C5DAF"/>
    <w:rsid w:val="005F26CC"/>
    <w:rsid w:val="006107AB"/>
    <w:rsid w:val="00610958"/>
    <w:rsid w:val="006302B1"/>
    <w:rsid w:val="00631690"/>
    <w:rsid w:val="00636185"/>
    <w:rsid w:val="00643C9A"/>
    <w:rsid w:val="00643D92"/>
    <w:rsid w:val="006468A1"/>
    <w:rsid w:val="00683EEE"/>
    <w:rsid w:val="006858BB"/>
    <w:rsid w:val="006B2EE6"/>
    <w:rsid w:val="006C3871"/>
    <w:rsid w:val="006E4D1B"/>
    <w:rsid w:val="006E550D"/>
    <w:rsid w:val="007078DE"/>
    <w:rsid w:val="007113B6"/>
    <w:rsid w:val="00733FCF"/>
    <w:rsid w:val="00741CD1"/>
    <w:rsid w:val="00773990"/>
    <w:rsid w:val="007A27C8"/>
    <w:rsid w:val="007B79F3"/>
    <w:rsid w:val="007C5795"/>
    <w:rsid w:val="00806152"/>
    <w:rsid w:val="00824EED"/>
    <w:rsid w:val="00835FFC"/>
    <w:rsid w:val="00845AF9"/>
    <w:rsid w:val="00851D2F"/>
    <w:rsid w:val="008637FB"/>
    <w:rsid w:val="00873BA4"/>
    <w:rsid w:val="00883569"/>
    <w:rsid w:val="0089485D"/>
    <w:rsid w:val="008B5BF9"/>
    <w:rsid w:val="008E1622"/>
    <w:rsid w:val="00906C52"/>
    <w:rsid w:val="009417B2"/>
    <w:rsid w:val="00944776"/>
    <w:rsid w:val="00952A43"/>
    <w:rsid w:val="0095490C"/>
    <w:rsid w:val="00961EF2"/>
    <w:rsid w:val="00963C91"/>
    <w:rsid w:val="009654F8"/>
    <w:rsid w:val="00966BDE"/>
    <w:rsid w:val="009923D3"/>
    <w:rsid w:val="009B6034"/>
    <w:rsid w:val="009D522D"/>
    <w:rsid w:val="009F2043"/>
    <w:rsid w:val="00A06FA6"/>
    <w:rsid w:val="00A12038"/>
    <w:rsid w:val="00A35D1A"/>
    <w:rsid w:val="00A37105"/>
    <w:rsid w:val="00A6312D"/>
    <w:rsid w:val="00A82BBF"/>
    <w:rsid w:val="00AA2AFF"/>
    <w:rsid w:val="00AB05C2"/>
    <w:rsid w:val="00AB1C71"/>
    <w:rsid w:val="00AD60F0"/>
    <w:rsid w:val="00AE1154"/>
    <w:rsid w:val="00B04624"/>
    <w:rsid w:val="00B226D9"/>
    <w:rsid w:val="00B44374"/>
    <w:rsid w:val="00B63C99"/>
    <w:rsid w:val="00B83495"/>
    <w:rsid w:val="00BA7EF3"/>
    <w:rsid w:val="00BD2496"/>
    <w:rsid w:val="00BD4043"/>
    <w:rsid w:val="00BD795D"/>
    <w:rsid w:val="00C123FE"/>
    <w:rsid w:val="00C13C22"/>
    <w:rsid w:val="00C41F6E"/>
    <w:rsid w:val="00C6578C"/>
    <w:rsid w:val="00C95C98"/>
    <w:rsid w:val="00CA0D97"/>
    <w:rsid w:val="00CB1DF7"/>
    <w:rsid w:val="00CB5AFA"/>
    <w:rsid w:val="00CD0841"/>
    <w:rsid w:val="00CD5DF6"/>
    <w:rsid w:val="00CF1DDE"/>
    <w:rsid w:val="00D0483C"/>
    <w:rsid w:val="00D04E28"/>
    <w:rsid w:val="00D10947"/>
    <w:rsid w:val="00D34E51"/>
    <w:rsid w:val="00D3665D"/>
    <w:rsid w:val="00D50E42"/>
    <w:rsid w:val="00D5212B"/>
    <w:rsid w:val="00D638F2"/>
    <w:rsid w:val="00D67EE7"/>
    <w:rsid w:val="00D717C5"/>
    <w:rsid w:val="00D72F0A"/>
    <w:rsid w:val="00D8029F"/>
    <w:rsid w:val="00D86CD8"/>
    <w:rsid w:val="00D91AE0"/>
    <w:rsid w:val="00DC5BF6"/>
    <w:rsid w:val="00E3280C"/>
    <w:rsid w:val="00E506F0"/>
    <w:rsid w:val="00E7480B"/>
    <w:rsid w:val="00E95E1E"/>
    <w:rsid w:val="00EA31AA"/>
    <w:rsid w:val="00EA3935"/>
    <w:rsid w:val="00EA612D"/>
    <w:rsid w:val="00EC194F"/>
    <w:rsid w:val="00EC5D26"/>
    <w:rsid w:val="00ED0B41"/>
    <w:rsid w:val="00EF08BF"/>
    <w:rsid w:val="00F13A53"/>
    <w:rsid w:val="00F44428"/>
    <w:rsid w:val="00F4661C"/>
    <w:rsid w:val="00F51AAE"/>
    <w:rsid w:val="00F530DF"/>
    <w:rsid w:val="00F547A5"/>
    <w:rsid w:val="00F55AAA"/>
    <w:rsid w:val="00F57650"/>
    <w:rsid w:val="00F663C7"/>
    <w:rsid w:val="00F706A9"/>
    <w:rsid w:val="00F907F6"/>
    <w:rsid w:val="00FA58EA"/>
    <w:rsid w:val="00FC5BBF"/>
    <w:rsid w:val="00FC6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6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56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56A1"/>
    <w:rPr>
      <w:sz w:val="18"/>
      <w:szCs w:val="18"/>
    </w:rPr>
  </w:style>
  <w:style w:type="paragraph" w:styleId="a4">
    <w:name w:val="footer"/>
    <w:basedOn w:val="a"/>
    <w:link w:val="Char0"/>
    <w:uiPriority w:val="99"/>
    <w:unhideWhenUsed/>
    <w:rsid w:val="000656A1"/>
    <w:pPr>
      <w:tabs>
        <w:tab w:val="center" w:pos="4153"/>
        <w:tab w:val="right" w:pos="8306"/>
      </w:tabs>
      <w:snapToGrid w:val="0"/>
      <w:jc w:val="left"/>
    </w:pPr>
    <w:rPr>
      <w:sz w:val="18"/>
      <w:szCs w:val="18"/>
    </w:rPr>
  </w:style>
  <w:style w:type="character" w:customStyle="1" w:styleId="Char0">
    <w:name w:val="页脚 Char"/>
    <w:basedOn w:val="a0"/>
    <w:link w:val="a4"/>
    <w:uiPriority w:val="99"/>
    <w:rsid w:val="000656A1"/>
    <w:rPr>
      <w:sz w:val="18"/>
      <w:szCs w:val="18"/>
    </w:rPr>
  </w:style>
  <w:style w:type="character" w:styleId="a5">
    <w:name w:val="Strong"/>
    <w:basedOn w:val="a0"/>
    <w:uiPriority w:val="22"/>
    <w:qFormat/>
    <w:rsid w:val="000656A1"/>
    <w:rPr>
      <w:b/>
      <w:bCs/>
    </w:rPr>
  </w:style>
  <w:style w:type="paragraph" w:customStyle="1" w:styleId="Default">
    <w:name w:val="Default"/>
    <w:rsid w:val="000E4F24"/>
    <w:pPr>
      <w:widowControl w:val="0"/>
      <w:autoSpaceDE w:val="0"/>
      <w:autoSpaceDN w:val="0"/>
      <w:adjustRightInd w:val="0"/>
    </w:pPr>
    <w:rPr>
      <w:rFonts w:ascii="仿宋_GB2312" w:hAnsi="仿宋_GB2312" w:cs="仿宋_GB2312"/>
      <w:color w:val="000000"/>
      <w:kern w:val="0"/>
      <w:sz w:val="24"/>
      <w:szCs w:val="24"/>
    </w:rPr>
  </w:style>
  <w:style w:type="paragraph" w:styleId="a6">
    <w:name w:val="List Paragraph"/>
    <w:basedOn w:val="a"/>
    <w:uiPriority w:val="34"/>
    <w:qFormat/>
    <w:rsid w:val="00A35D1A"/>
    <w:pPr>
      <w:ind w:firstLineChars="200" w:firstLine="420"/>
    </w:pPr>
  </w:style>
  <w:style w:type="character" w:styleId="a7">
    <w:name w:val="annotation reference"/>
    <w:basedOn w:val="a0"/>
    <w:uiPriority w:val="99"/>
    <w:semiHidden/>
    <w:unhideWhenUsed/>
    <w:rsid w:val="00A35D1A"/>
    <w:rPr>
      <w:sz w:val="21"/>
      <w:szCs w:val="21"/>
    </w:rPr>
  </w:style>
  <w:style w:type="paragraph" w:styleId="a8">
    <w:name w:val="annotation text"/>
    <w:basedOn w:val="a"/>
    <w:link w:val="Char1"/>
    <w:uiPriority w:val="99"/>
    <w:semiHidden/>
    <w:unhideWhenUsed/>
    <w:rsid w:val="00A35D1A"/>
    <w:pPr>
      <w:jc w:val="left"/>
    </w:pPr>
  </w:style>
  <w:style w:type="character" w:customStyle="1" w:styleId="Char1">
    <w:name w:val="批注文字 Char"/>
    <w:basedOn w:val="a0"/>
    <w:link w:val="a8"/>
    <w:uiPriority w:val="99"/>
    <w:semiHidden/>
    <w:rsid w:val="00A35D1A"/>
  </w:style>
  <w:style w:type="paragraph" w:styleId="a9">
    <w:name w:val="annotation subject"/>
    <w:basedOn w:val="a8"/>
    <w:next w:val="a8"/>
    <w:link w:val="Char2"/>
    <w:uiPriority w:val="99"/>
    <w:semiHidden/>
    <w:unhideWhenUsed/>
    <w:rsid w:val="00A35D1A"/>
    <w:rPr>
      <w:b/>
      <w:bCs/>
    </w:rPr>
  </w:style>
  <w:style w:type="character" w:customStyle="1" w:styleId="Char2">
    <w:name w:val="批注主题 Char"/>
    <w:basedOn w:val="Char1"/>
    <w:link w:val="a9"/>
    <w:uiPriority w:val="99"/>
    <w:semiHidden/>
    <w:rsid w:val="00A35D1A"/>
    <w:rPr>
      <w:b/>
      <w:bCs/>
    </w:rPr>
  </w:style>
  <w:style w:type="paragraph" w:styleId="aa">
    <w:name w:val="Balloon Text"/>
    <w:basedOn w:val="a"/>
    <w:link w:val="Char3"/>
    <w:uiPriority w:val="99"/>
    <w:semiHidden/>
    <w:unhideWhenUsed/>
    <w:rsid w:val="00A35D1A"/>
    <w:rPr>
      <w:sz w:val="18"/>
      <w:szCs w:val="18"/>
    </w:rPr>
  </w:style>
  <w:style w:type="character" w:customStyle="1" w:styleId="Char3">
    <w:name w:val="批注框文本 Char"/>
    <w:basedOn w:val="a0"/>
    <w:link w:val="aa"/>
    <w:uiPriority w:val="99"/>
    <w:semiHidden/>
    <w:rsid w:val="00A35D1A"/>
    <w:rPr>
      <w:sz w:val="18"/>
      <w:szCs w:val="18"/>
    </w:rPr>
  </w:style>
  <w:style w:type="paragraph" w:customStyle="1" w:styleId="ab">
    <w:name w:val="附注二级"/>
    <w:basedOn w:val="a"/>
    <w:link w:val="Char4"/>
    <w:rsid w:val="00A35D1A"/>
    <w:pPr>
      <w:tabs>
        <w:tab w:val="left" w:pos="714"/>
      </w:tabs>
      <w:adjustRightInd w:val="0"/>
      <w:snapToGrid w:val="0"/>
      <w:spacing w:line="400" w:lineRule="atLeast"/>
      <w:ind w:left="756" w:hanging="770"/>
      <w:outlineLvl w:val="0"/>
    </w:pPr>
    <w:rPr>
      <w:rFonts w:ascii="宋体" w:eastAsia="宋体" w:hAnsi="宋体" w:cs="Times New Roman"/>
      <w:b/>
      <w:szCs w:val="21"/>
    </w:rPr>
  </w:style>
  <w:style w:type="character" w:customStyle="1" w:styleId="Char4">
    <w:name w:val="附注二级 Char"/>
    <w:link w:val="ab"/>
    <w:locked/>
    <w:rsid w:val="00A35D1A"/>
    <w:rPr>
      <w:rFonts w:ascii="宋体" w:eastAsia="宋体" w:hAnsi="宋体" w:cs="Times New Roman"/>
      <w:b/>
      <w:szCs w:val="21"/>
    </w:rPr>
  </w:style>
  <w:style w:type="paragraph" w:customStyle="1" w:styleId="ac">
    <w:name w:val="附注三级"/>
    <w:basedOn w:val="a"/>
    <w:link w:val="Char5"/>
    <w:qFormat/>
    <w:rsid w:val="00A35D1A"/>
    <w:pPr>
      <w:tabs>
        <w:tab w:val="left" w:pos="1273"/>
      </w:tabs>
      <w:adjustRightInd w:val="0"/>
      <w:snapToGrid w:val="0"/>
      <w:spacing w:line="400" w:lineRule="atLeast"/>
      <w:ind w:leftChars="342" w:left="1256" w:hangingChars="255" w:hanging="538"/>
    </w:pPr>
    <w:rPr>
      <w:rFonts w:ascii="宋体" w:eastAsia="宋体" w:hAnsi="宋体" w:cs="Times New Roman"/>
      <w:b/>
      <w:bCs/>
      <w:szCs w:val="21"/>
    </w:rPr>
  </w:style>
  <w:style w:type="character" w:customStyle="1" w:styleId="Char5">
    <w:name w:val="附注三级 Char"/>
    <w:link w:val="ac"/>
    <w:qFormat/>
    <w:rsid w:val="00A35D1A"/>
    <w:rPr>
      <w:rFonts w:ascii="宋体" w:eastAsia="宋体" w:hAnsi="宋体" w:cs="Times New Roman"/>
      <w:b/>
      <w:bCs/>
      <w:szCs w:val="21"/>
    </w:rPr>
  </w:style>
  <w:style w:type="paragraph" w:customStyle="1" w:styleId="ad">
    <w:name w:val="附注三级正文"/>
    <w:basedOn w:val="a"/>
    <w:link w:val="Char6"/>
    <w:qFormat/>
    <w:rsid w:val="00A35D1A"/>
    <w:pPr>
      <w:tabs>
        <w:tab w:val="num" w:pos="630"/>
      </w:tabs>
      <w:adjustRightInd w:val="0"/>
      <w:snapToGrid w:val="0"/>
      <w:spacing w:line="400" w:lineRule="atLeast"/>
      <w:ind w:leftChars="600" w:left="1260"/>
    </w:pPr>
    <w:rPr>
      <w:rFonts w:ascii="宋体" w:eastAsia="宋体" w:hAnsi="宋体" w:cs="Times New Roman"/>
      <w:szCs w:val="21"/>
    </w:rPr>
  </w:style>
  <w:style w:type="character" w:customStyle="1" w:styleId="Char6">
    <w:name w:val="附注三级正文 Char"/>
    <w:link w:val="ad"/>
    <w:locked/>
    <w:rsid w:val="00A35D1A"/>
    <w:rPr>
      <w:rFonts w:ascii="宋体" w:eastAsia="宋体" w:hAnsi="宋体" w:cs="Times New Roman"/>
      <w:szCs w:val="21"/>
    </w:rPr>
  </w:style>
  <w:style w:type="table" w:customStyle="1" w:styleId="g3">
    <w:name w:val="g3"/>
    <w:uiPriority w:val="99"/>
    <w:semiHidden/>
    <w:unhideWhenUsed/>
    <w:rsid w:val="00A35D1A"/>
    <w:rPr>
      <w:rFonts w:ascii="Calibri" w:eastAsia="宋体" w:hAnsi="Calibri" w:cs="Times New Roman"/>
      <w:kern w:val="0"/>
      <w:sz w:val="20"/>
      <w:szCs w:val="20"/>
    </w:r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6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56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56A1"/>
    <w:rPr>
      <w:sz w:val="18"/>
      <w:szCs w:val="18"/>
    </w:rPr>
  </w:style>
  <w:style w:type="paragraph" w:styleId="a4">
    <w:name w:val="footer"/>
    <w:basedOn w:val="a"/>
    <w:link w:val="Char0"/>
    <w:uiPriority w:val="99"/>
    <w:unhideWhenUsed/>
    <w:rsid w:val="000656A1"/>
    <w:pPr>
      <w:tabs>
        <w:tab w:val="center" w:pos="4153"/>
        <w:tab w:val="right" w:pos="8306"/>
      </w:tabs>
      <w:snapToGrid w:val="0"/>
      <w:jc w:val="left"/>
    </w:pPr>
    <w:rPr>
      <w:sz w:val="18"/>
      <w:szCs w:val="18"/>
    </w:rPr>
  </w:style>
  <w:style w:type="character" w:customStyle="1" w:styleId="Char0">
    <w:name w:val="页脚 Char"/>
    <w:basedOn w:val="a0"/>
    <w:link w:val="a4"/>
    <w:uiPriority w:val="99"/>
    <w:rsid w:val="000656A1"/>
    <w:rPr>
      <w:sz w:val="18"/>
      <w:szCs w:val="18"/>
    </w:rPr>
  </w:style>
  <w:style w:type="character" w:styleId="a5">
    <w:name w:val="Strong"/>
    <w:basedOn w:val="a0"/>
    <w:uiPriority w:val="22"/>
    <w:qFormat/>
    <w:rsid w:val="000656A1"/>
    <w:rPr>
      <w:b/>
      <w:bCs/>
    </w:rPr>
  </w:style>
  <w:style w:type="paragraph" w:customStyle="1" w:styleId="Default">
    <w:name w:val="Default"/>
    <w:rsid w:val="000E4F24"/>
    <w:pPr>
      <w:widowControl w:val="0"/>
      <w:autoSpaceDE w:val="0"/>
      <w:autoSpaceDN w:val="0"/>
      <w:adjustRightInd w:val="0"/>
    </w:pPr>
    <w:rPr>
      <w:rFonts w:ascii="仿宋_GB2312" w:hAnsi="仿宋_GB2312" w:cs="仿宋_GB2312"/>
      <w:color w:val="000000"/>
      <w:kern w:val="0"/>
      <w:sz w:val="24"/>
      <w:szCs w:val="24"/>
    </w:rPr>
  </w:style>
  <w:style w:type="paragraph" w:styleId="a6">
    <w:name w:val="List Paragraph"/>
    <w:basedOn w:val="a"/>
    <w:uiPriority w:val="34"/>
    <w:qFormat/>
    <w:rsid w:val="00A35D1A"/>
    <w:pPr>
      <w:ind w:firstLineChars="200" w:firstLine="420"/>
    </w:pPr>
  </w:style>
  <w:style w:type="character" w:styleId="a7">
    <w:name w:val="annotation reference"/>
    <w:basedOn w:val="a0"/>
    <w:uiPriority w:val="99"/>
    <w:semiHidden/>
    <w:unhideWhenUsed/>
    <w:rsid w:val="00A35D1A"/>
    <w:rPr>
      <w:sz w:val="21"/>
      <w:szCs w:val="21"/>
    </w:rPr>
  </w:style>
  <w:style w:type="paragraph" w:styleId="a8">
    <w:name w:val="annotation text"/>
    <w:basedOn w:val="a"/>
    <w:link w:val="Char1"/>
    <w:uiPriority w:val="99"/>
    <w:semiHidden/>
    <w:unhideWhenUsed/>
    <w:rsid w:val="00A35D1A"/>
    <w:pPr>
      <w:jc w:val="left"/>
    </w:pPr>
  </w:style>
  <w:style w:type="character" w:customStyle="1" w:styleId="Char1">
    <w:name w:val="批注文字 Char"/>
    <w:basedOn w:val="a0"/>
    <w:link w:val="a8"/>
    <w:uiPriority w:val="99"/>
    <w:semiHidden/>
    <w:rsid w:val="00A35D1A"/>
  </w:style>
  <w:style w:type="paragraph" w:styleId="a9">
    <w:name w:val="annotation subject"/>
    <w:basedOn w:val="a8"/>
    <w:next w:val="a8"/>
    <w:link w:val="Char2"/>
    <w:uiPriority w:val="99"/>
    <w:semiHidden/>
    <w:unhideWhenUsed/>
    <w:rsid w:val="00A35D1A"/>
    <w:rPr>
      <w:b/>
      <w:bCs/>
    </w:rPr>
  </w:style>
  <w:style w:type="character" w:customStyle="1" w:styleId="Char2">
    <w:name w:val="批注主题 Char"/>
    <w:basedOn w:val="Char1"/>
    <w:link w:val="a9"/>
    <w:uiPriority w:val="99"/>
    <w:semiHidden/>
    <w:rsid w:val="00A35D1A"/>
    <w:rPr>
      <w:b/>
      <w:bCs/>
    </w:rPr>
  </w:style>
  <w:style w:type="paragraph" w:styleId="aa">
    <w:name w:val="Balloon Text"/>
    <w:basedOn w:val="a"/>
    <w:link w:val="Char3"/>
    <w:uiPriority w:val="99"/>
    <w:semiHidden/>
    <w:unhideWhenUsed/>
    <w:rsid w:val="00A35D1A"/>
    <w:rPr>
      <w:sz w:val="18"/>
      <w:szCs w:val="18"/>
    </w:rPr>
  </w:style>
  <w:style w:type="character" w:customStyle="1" w:styleId="Char3">
    <w:name w:val="批注框文本 Char"/>
    <w:basedOn w:val="a0"/>
    <w:link w:val="aa"/>
    <w:uiPriority w:val="99"/>
    <w:semiHidden/>
    <w:rsid w:val="00A35D1A"/>
    <w:rPr>
      <w:sz w:val="18"/>
      <w:szCs w:val="18"/>
    </w:rPr>
  </w:style>
  <w:style w:type="paragraph" w:customStyle="1" w:styleId="ab">
    <w:name w:val="附注二级"/>
    <w:basedOn w:val="a"/>
    <w:link w:val="Char4"/>
    <w:rsid w:val="00A35D1A"/>
    <w:pPr>
      <w:tabs>
        <w:tab w:val="left" w:pos="714"/>
      </w:tabs>
      <w:adjustRightInd w:val="0"/>
      <w:snapToGrid w:val="0"/>
      <w:spacing w:line="400" w:lineRule="atLeast"/>
      <w:ind w:left="756" w:hanging="770"/>
      <w:outlineLvl w:val="0"/>
    </w:pPr>
    <w:rPr>
      <w:rFonts w:ascii="宋体" w:eastAsia="宋体" w:hAnsi="宋体" w:cs="Times New Roman"/>
      <w:b/>
      <w:szCs w:val="21"/>
    </w:rPr>
  </w:style>
  <w:style w:type="character" w:customStyle="1" w:styleId="Char4">
    <w:name w:val="附注二级 Char"/>
    <w:link w:val="ab"/>
    <w:locked/>
    <w:rsid w:val="00A35D1A"/>
    <w:rPr>
      <w:rFonts w:ascii="宋体" w:eastAsia="宋体" w:hAnsi="宋体" w:cs="Times New Roman"/>
      <w:b/>
      <w:szCs w:val="21"/>
    </w:rPr>
  </w:style>
  <w:style w:type="paragraph" w:customStyle="1" w:styleId="ac">
    <w:name w:val="附注三级"/>
    <w:basedOn w:val="a"/>
    <w:link w:val="Char5"/>
    <w:qFormat/>
    <w:rsid w:val="00A35D1A"/>
    <w:pPr>
      <w:tabs>
        <w:tab w:val="left" w:pos="1273"/>
      </w:tabs>
      <w:adjustRightInd w:val="0"/>
      <w:snapToGrid w:val="0"/>
      <w:spacing w:line="400" w:lineRule="atLeast"/>
      <w:ind w:leftChars="342" w:left="1256" w:hangingChars="255" w:hanging="538"/>
    </w:pPr>
    <w:rPr>
      <w:rFonts w:ascii="宋体" w:eastAsia="宋体" w:hAnsi="宋体" w:cs="Times New Roman"/>
      <w:b/>
      <w:bCs/>
      <w:szCs w:val="21"/>
    </w:rPr>
  </w:style>
  <w:style w:type="character" w:customStyle="1" w:styleId="Char5">
    <w:name w:val="附注三级 Char"/>
    <w:link w:val="ac"/>
    <w:qFormat/>
    <w:rsid w:val="00A35D1A"/>
    <w:rPr>
      <w:rFonts w:ascii="宋体" w:eastAsia="宋体" w:hAnsi="宋体" w:cs="Times New Roman"/>
      <w:b/>
      <w:bCs/>
      <w:szCs w:val="21"/>
    </w:rPr>
  </w:style>
  <w:style w:type="paragraph" w:customStyle="1" w:styleId="ad">
    <w:name w:val="附注三级正文"/>
    <w:basedOn w:val="a"/>
    <w:link w:val="Char6"/>
    <w:qFormat/>
    <w:rsid w:val="00A35D1A"/>
    <w:pPr>
      <w:tabs>
        <w:tab w:val="num" w:pos="630"/>
      </w:tabs>
      <w:adjustRightInd w:val="0"/>
      <w:snapToGrid w:val="0"/>
      <w:spacing w:line="400" w:lineRule="atLeast"/>
      <w:ind w:leftChars="600" w:left="1260"/>
    </w:pPr>
    <w:rPr>
      <w:rFonts w:ascii="宋体" w:eastAsia="宋体" w:hAnsi="宋体" w:cs="Times New Roman"/>
      <w:szCs w:val="21"/>
    </w:rPr>
  </w:style>
  <w:style w:type="character" w:customStyle="1" w:styleId="Char6">
    <w:name w:val="附注三级正文 Char"/>
    <w:link w:val="ad"/>
    <w:locked/>
    <w:rsid w:val="00A35D1A"/>
    <w:rPr>
      <w:rFonts w:ascii="宋体" w:eastAsia="宋体" w:hAnsi="宋体" w:cs="Times New Roman"/>
      <w:szCs w:val="21"/>
    </w:rPr>
  </w:style>
  <w:style w:type="table" w:customStyle="1" w:styleId="g3">
    <w:name w:val="g3"/>
    <w:uiPriority w:val="99"/>
    <w:semiHidden/>
    <w:unhideWhenUsed/>
    <w:rsid w:val="00A35D1A"/>
    <w:rPr>
      <w:rFonts w:ascii="Calibri" w:eastAsia="宋体" w:hAnsi="Calibri" w:cs="Times New Roman"/>
      <w:kern w:val="0"/>
      <w:sz w:val="20"/>
      <w:szCs w:val="20"/>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32328">
      <w:bodyDiv w:val="1"/>
      <w:marLeft w:val="0"/>
      <w:marRight w:val="0"/>
      <w:marTop w:val="0"/>
      <w:marBottom w:val="0"/>
      <w:divBdr>
        <w:top w:val="none" w:sz="0" w:space="0" w:color="auto"/>
        <w:left w:val="none" w:sz="0" w:space="0" w:color="auto"/>
        <w:bottom w:val="none" w:sz="0" w:space="0" w:color="auto"/>
        <w:right w:val="none" w:sz="0" w:space="0" w:color="auto"/>
      </w:divBdr>
    </w:div>
    <w:div w:id="71160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CAF6C-A2BE-4ECB-80D0-186BE527D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3666</Words>
  <Characters>20898</Characters>
  <Application>Microsoft Office Word</Application>
  <DocSecurity>0</DocSecurity>
  <Lines>174</Lines>
  <Paragraphs>49</Paragraphs>
  <ScaleCrop>false</ScaleCrop>
  <Company/>
  <LinksUpToDate>false</LinksUpToDate>
  <CharactersWithSpaces>24515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jiangyinglan   姜璎兰</dc:creator>
  <cp:lastModifiedBy>B1zhangjin</cp:lastModifiedBy>
  <cp:revision>2</cp:revision>
  <dcterms:created xsi:type="dcterms:W3CDTF">2017-05-26T05:49:00Z</dcterms:created>
  <dcterms:modified xsi:type="dcterms:W3CDTF">2017-05-26T05:49:00Z</dcterms:modified>
</cp:coreProperties>
</file>