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F9" w:rsidRPr="000B298F" w:rsidRDefault="007044F9" w:rsidP="007044F9">
      <w:pPr>
        <w:adjustRightInd w:val="0"/>
        <w:snapToGrid w:val="0"/>
        <w:spacing w:line="360" w:lineRule="auto"/>
        <w:jc w:val="left"/>
        <w:rPr>
          <w:rFonts w:ascii="宋体" w:hAnsi="宋体"/>
          <w:color w:val="FF0000"/>
          <w:sz w:val="24"/>
        </w:rPr>
      </w:pPr>
      <w:r w:rsidRPr="000B298F">
        <w:rPr>
          <w:rFonts w:ascii="宋体" w:hAnsi="宋体" w:hint="eastAsia"/>
          <w:sz w:val="24"/>
        </w:rPr>
        <w:t>证券代码：600198         证券简称：大唐电信        公告编号：2017-</w:t>
      </w:r>
      <w:r w:rsidR="00095A6D">
        <w:rPr>
          <w:rFonts w:ascii="宋体" w:hAnsi="宋体" w:hint="eastAsia"/>
          <w:sz w:val="24"/>
        </w:rPr>
        <w:t>026</w:t>
      </w:r>
    </w:p>
    <w:p w:rsidR="007044F9" w:rsidRPr="00212D08" w:rsidRDefault="007044F9" w:rsidP="007044F9">
      <w:pPr>
        <w:autoSpaceDE w:val="0"/>
        <w:autoSpaceDN w:val="0"/>
        <w:adjustRightInd w:val="0"/>
        <w:snapToGrid w:val="0"/>
        <w:spacing w:line="360" w:lineRule="auto"/>
        <w:jc w:val="center"/>
        <w:rPr>
          <w:rFonts w:ascii="宋体" w:hAnsi="宋体"/>
          <w:color w:val="000000"/>
          <w:sz w:val="24"/>
        </w:rPr>
      </w:pPr>
    </w:p>
    <w:p w:rsidR="007044F9" w:rsidRPr="002D1598" w:rsidRDefault="007044F9" w:rsidP="007044F9">
      <w:pPr>
        <w:adjustRightInd w:val="0"/>
        <w:snapToGrid w:val="0"/>
        <w:spacing w:line="360" w:lineRule="auto"/>
        <w:ind w:firstLine="510"/>
        <w:jc w:val="center"/>
        <w:rPr>
          <w:rFonts w:ascii="黑体" w:eastAsia="黑体" w:hAnsi="黑体"/>
          <w:b/>
          <w:bCs/>
          <w:color w:val="FF0000"/>
          <w:sz w:val="36"/>
          <w:szCs w:val="36"/>
        </w:rPr>
      </w:pPr>
      <w:r w:rsidRPr="002D1598">
        <w:rPr>
          <w:rFonts w:ascii="黑体" w:eastAsia="黑体" w:hAnsi="黑体" w:hint="eastAsia"/>
          <w:b/>
          <w:bCs/>
          <w:color w:val="FF0000"/>
          <w:sz w:val="36"/>
          <w:szCs w:val="36"/>
        </w:rPr>
        <w:t>大唐电信科技股份有限公司</w:t>
      </w:r>
    </w:p>
    <w:p w:rsidR="007044F9" w:rsidRPr="002D1598" w:rsidRDefault="007044F9" w:rsidP="007044F9">
      <w:pPr>
        <w:adjustRightInd w:val="0"/>
        <w:snapToGrid w:val="0"/>
        <w:spacing w:line="360" w:lineRule="auto"/>
        <w:ind w:firstLine="510"/>
        <w:jc w:val="center"/>
        <w:rPr>
          <w:rFonts w:ascii="黑体" w:eastAsia="黑体" w:hAnsi="黑体"/>
          <w:b/>
          <w:bCs/>
          <w:sz w:val="24"/>
        </w:rPr>
      </w:pPr>
      <w:r w:rsidRPr="002D1598">
        <w:rPr>
          <w:rFonts w:ascii="黑体" w:eastAsia="黑体" w:hAnsi="黑体" w:hint="eastAsia"/>
          <w:b/>
          <w:bCs/>
          <w:color w:val="FF0000"/>
          <w:sz w:val="36"/>
          <w:szCs w:val="36"/>
        </w:rPr>
        <w:t>对外投资公告</w:t>
      </w:r>
      <w:bookmarkStart w:id="0" w:name="_GoBack"/>
      <w:bookmarkEnd w:id="0"/>
    </w:p>
    <w:p w:rsidR="007044F9" w:rsidRPr="00212D08" w:rsidRDefault="007044F9" w:rsidP="007044F9">
      <w:pPr>
        <w:adjustRightInd w:val="0"/>
        <w:snapToGrid w:val="0"/>
        <w:spacing w:line="360" w:lineRule="auto"/>
        <w:ind w:firstLine="510"/>
        <w:jc w:val="center"/>
        <w:rPr>
          <w:rFonts w:ascii="宋体" w:hAnsi="宋体"/>
          <w:bCs/>
          <w:sz w:val="24"/>
        </w:rPr>
      </w:pPr>
    </w:p>
    <w:p w:rsidR="007044F9" w:rsidRPr="00212D08" w:rsidRDefault="007044F9" w:rsidP="007044F9">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color w:val="000000"/>
          <w:sz w:val="24"/>
        </w:rPr>
      </w:pPr>
      <w:r w:rsidRPr="00212D08">
        <w:rPr>
          <w:rFonts w:ascii="宋体" w:hAnsi="宋体" w:hint="eastAsia"/>
          <w:color w:val="000000"/>
          <w:sz w:val="24"/>
        </w:rPr>
        <w:t xml:space="preserve">    本公司董事会及全体董事保证本公告内容不存在任何虚假记载、误导性陈述或者重大遗漏，并对其内容的真实性、准确性和完整性承担个别及连带责任。</w:t>
      </w:r>
    </w:p>
    <w:p w:rsidR="007044F9" w:rsidRPr="00212D08" w:rsidRDefault="007044F9" w:rsidP="007044F9">
      <w:pPr>
        <w:pStyle w:val="Default"/>
        <w:spacing w:before="240" w:line="360" w:lineRule="auto"/>
        <w:ind w:firstLineChars="200" w:firstLine="482"/>
        <w:rPr>
          <w:rFonts w:hAnsi="宋体" w:cs="Times New Roman"/>
          <w:b/>
          <w:kern w:val="2"/>
        </w:rPr>
      </w:pPr>
      <w:r w:rsidRPr="00212D08">
        <w:rPr>
          <w:rFonts w:hAnsi="宋体" w:cs="Times New Roman" w:hint="eastAsia"/>
          <w:b/>
          <w:kern w:val="2"/>
        </w:rPr>
        <w:t xml:space="preserve">重要内容提示： </w:t>
      </w:r>
    </w:p>
    <w:p w:rsidR="007044F9" w:rsidRPr="00193A66" w:rsidRDefault="007044F9" w:rsidP="007044F9">
      <w:pPr>
        <w:pStyle w:val="Default"/>
        <w:numPr>
          <w:ilvl w:val="0"/>
          <w:numId w:val="1"/>
        </w:numPr>
        <w:spacing w:before="240" w:line="360" w:lineRule="auto"/>
        <w:rPr>
          <w:rFonts w:hAnsi="宋体" w:cs="Times New Roman"/>
          <w:kern w:val="2"/>
        </w:rPr>
      </w:pPr>
      <w:r w:rsidRPr="00212D08">
        <w:rPr>
          <w:rFonts w:hAnsi="宋体" w:cs="Times New Roman" w:hint="eastAsia"/>
          <w:kern w:val="2"/>
        </w:rPr>
        <w:t>投资标的名称：瓴盛科技(贵州)有限公司</w:t>
      </w:r>
    </w:p>
    <w:p w:rsidR="007044F9" w:rsidRPr="00212D08" w:rsidRDefault="007044F9" w:rsidP="007044F9">
      <w:pPr>
        <w:pStyle w:val="Default"/>
        <w:numPr>
          <w:ilvl w:val="0"/>
          <w:numId w:val="1"/>
        </w:numPr>
        <w:spacing w:before="240" w:line="360" w:lineRule="auto"/>
        <w:rPr>
          <w:rFonts w:hAnsi="宋体" w:cs="Times New Roman"/>
          <w:kern w:val="2"/>
        </w:rPr>
      </w:pPr>
      <w:r w:rsidRPr="00212D08">
        <w:rPr>
          <w:rFonts w:hAnsi="宋体" w:cs="Times New Roman" w:hint="eastAsia"/>
          <w:kern w:val="2"/>
        </w:rPr>
        <w:t>投资金额：</w:t>
      </w:r>
      <w:r w:rsidRPr="00212D08">
        <w:rPr>
          <w:rFonts w:cs="Times New Roman" w:hint="eastAsia"/>
          <w:kern w:val="2"/>
        </w:rPr>
        <w:t>72,027.60万元</w:t>
      </w:r>
    </w:p>
    <w:p w:rsidR="007044F9" w:rsidRPr="00212D08" w:rsidRDefault="007044F9" w:rsidP="007044F9">
      <w:pPr>
        <w:pStyle w:val="1"/>
        <w:spacing w:beforeLines="50" w:before="156" w:afterLines="50" w:after="156" w:line="360" w:lineRule="auto"/>
        <w:ind w:leftChars="50" w:left="105" w:rightChars="50" w:right="105" w:firstLineChars="196" w:firstLine="472"/>
        <w:rPr>
          <w:rFonts w:ascii="宋体" w:hAnsi="宋体"/>
          <w:sz w:val="24"/>
          <w:szCs w:val="24"/>
        </w:rPr>
      </w:pPr>
      <w:proofErr w:type="spellStart"/>
      <w:r w:rsidRPr="00212D08">
        <w:rPr>
          <w:rFonts w:ascii="宋体" w:hAnsi="宋体" w:hint="eastAsia"/>
          <w:sz w:val="24"/>
          <w:szCs w:val="24"/>
        </w:rPr>
        <w:t>一、对外投资概述</w:t>
      </w:r>
      <w:proofErr w:type="spellEnd"/>
    </w:p>
    <w:p w:rsidR="007044F9" w:rsidRDefault="007044F9" w:rsidP="00E66665">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一）公司全资子公司联芯科技有限公司（以下简称“联芯科技”）拟以下属全资子公司上海立可芯半导体科技有限公司（以下简称“立可芯”）全部股权出资参与设立中外合资企业瓴盛科技（贵州）有限公司（以下简称“</w:t>
      </w:r>
      <w:r>
        <w:rPr>
          <w:rFonts w:hint="eastAsia"/>
        </w:rPr>
        <w:t>合资公司</w:t>
      </w:r>
      <w:r w:rsidRPr="00212D08">
        <w:rPr>
          <w:rFonts w:hint="eastAsia"/>
        </w:rPr>
        <w:t>”），以进一步聚焦消费类手机市场，提升产品竞争力，并有效整合公司资源，提高行业占有率和影响力。</w:t>
      </w:r>
      <w:r>
        <w:rPr>
          <w:rFonts w:hint="eastAsia"/>
        </w:rPr>
        <w:t>合资公司注册资本</w:t>
      </w:r>
      <w:r w:rsidRPr="00212D08">
        <w:rPr>
          <w:rFonts w:hint="eastAsia"/>
        </w:rPr>
        <w:t>298,460.64万元</w:t>
      </w:r>
      <w:r>
        <w:rPr>
          <w:rFonts w:hint="eastAsia"/>
        </w:rPr>
        <w:t>，</w:t>
      </w:r>
      <w:r w:rsidRPr="00212D08">
        <w:rPr>
          <w:rFonts w:hint="eastAsia"/>
        </w:rPr>
        <w:t>其中联芯科技以立可芯全部股权出资72,027.60万元，占合资公司注册资本的24.133%；高通（中国）控股有限公司（以下简称“高通控股”）以现金形式对合资公司出资72,027.60万元，占合资公司注册资本的24.133%；建广（贵安新区）半导体产业投资中心（有限合伙）（以下简称“建广基金”）以现金形式对合资公司出资103,396.50万元，占合资公司注册资本的34.643%；智路（贵安新区）战略新兴产业投资中心（有限合伙）（以下简称“智路基金”）以现金形式对合资公司出资51,008.94万元，占合资公司注册资本的17.091%。</w:t>
      </w:r>
      <w:r>
        <w:rPr>
          <w:rFonts w:hint="eastAsia"/>
        </w:rPr>
        <w:t xml:space="preserve">   </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Pr>
          <w:rFonts w:hint="eastAsia"/>
        </w:rPr>
        <w:t>（二）</w:t>
      </w:r>
      <w:r w:rsidRPr="00212D08">
        <w:rPr>
          <w:rFonts w:hint="eastAsia"/>
        </w:rPr>
        <w:t>公司第七届第十三次董事会于2017年5月25日以现场</w:t>
      </w:r>
      <w:r w:rsidR="00A5229B">
        <w:rPr>
          <w:rFonts w:hint="eastAsia"/>
        </w:rPr>
        <w:t>结合通讯</w:t>
      </w:r>
      <w:r w:rsidRPr="00212D08">
        <w:rPr>
          <w:rFonts w:hint="eastAsia"/>
        </w:rPr>
        <w:t>表决方式召开。本次会议应参会董事</w:t>
      </w:r>
      <w:r w:rsidR="009024B7">
        <w:rPr>
          <w:rFonts w:hint="eastAsia"/>
        </w:rPr>
        <w:t>7</w:t>
      </w:r>
      <w:r w:rsidRPr="00212D08">
        <w:rPr>
          <w:rFonts w:hint="eastAsia"/>
        </w:rPr>
        <w:t>人，实际参会董事</w:t>
      </w:r>
      <w:r w:rsidR="009024B7">
        <w:rPr>
          <w:rFonts w:hint="eastAsia"/>
        </w:rPr>
        <w:t>7</w:t>
      </w:r>
      <w:r w:rsidRPr="00212D08">
        <w:rPr>
          <w:rFonts w:hint="eastAsia"/>
        </w:rPr>
        <w:t>人，会议以</w:t>
      </w:r>
      <w:r w:rsidR="009024B7">
        <w:rPr>
          <w:rFonts w:hint="eastAsia"/>
        </w:rPr>
        <w:t>7</w:t>
      </w:r>
      <w:r w:rsidRPr="00212D08">
        <w:rPr>
          <w:rFonts w:hint="eastAsia"/>
        </w:rPr>
        <w:t>票同意，</w:t>
      </w:r>
      <w:r w:rsidR="009024B7">
        <w:rPr>
          <w:rFonts w:hint="eastAsia"/>
        </w:rPr>
        <w:t>0</w:t>
      </w:r>
      <w:r w:rsidRPr="00212D08">
        <w:rPr>
          <w:rFonts w:hint="eastAsia"/>
        </w:rPr>
        <w:t>票反对，</w:t>
      </w:r>
      <w:r w:rsidR="009024B7">
        <w:rPr>
          <w:rFonts w:hint="eastAsia"/>
        </w:rPr>
        <w:t>0</w:t>
      </w:r>
      <w:r w:rsidRPr="00212D08">
        <w:rPr>
          <w:rFonts w:hint="eastAsia"/>
        </w:rPr>
        <w:t>票弃权，审议通过了《关于联芯科技参与设立合资公司的议案》。</w:t>
      </w:r>
    </w:p>
    <w:p w:rsidR="007044F9"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lastRenderedPageBreak/>
        <w:t>（三）本次参与投资设立合资公司不属于关联交易和重大资产重组事项，无需经股东大会批准。</w:t>
      </w:r>
    </w:p>
    <w:p w:rsidR="007044F9" w:rsidRPr="00606AEB"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Pr>
          <w:rFonts w:hint="eastAsia"/>
        </w:rPr>
        <w:t>（四）本次参与投资设立合资公司</w:t>
      </w:r>
      <w:r w:rsidRPr="00212D08">
        <w:rPr>
          <w:rFonts w:hint="eastAsia"/>
        </w:rPr>
        <w:t>需经</w:t>
      </w:r>
      <w:r>
        <w:rPr>
          <w:rFonts w:hint="eastAsia"/>
        </w:rPr>
        <w:t>政府相关部门批准</w:t>
      </w:r>
      <w:r w:rsidRPr="00212D08">
        <w:rPr>
          <w:rFonts w:hint="eastAsia"/>
        </w:rPr>
        <w:t>。</w:t>
      </w:r>
    </w:p>
    <w:p w:rsidR="007044F9" w:rsidRPr="00212D08" w:rsidRDefault="007044F9" w:rsidP="007044F9">
      <w:pPr>
        <w:pStyle w:val="1"/>
        <w:spacing w:beforeLines="50" w:before="156" w:afterLines="50" w:after="156" w:line="360" w:lineRule="auto"/>
        <w:ind w:leftChars="50" w:left="105" w:rightChars="50" w:right="105" w:firstLineChars="196" w:firstLine="472"/>
        <w:rPr>
          <w:rFonts w:ascii="宋体" w:hAnsi="宋体"/>
          <w:sz w:val="24"/>
          <w:szCs w:val="24"/>
        </w:rPr>
      </w:pPr>
      <w:proofErr w:type="spellStart"/>
      <w:r w:rsidRPr="00212D08">
        <w:rPr>
          <w:rFonts w:ascii="宋体" w:hAnsi="宋体" w:hint="eastAsia"/>
          <w:sz w:val="24"/>
          <w:szCs w:val="24"/>
        </w:rPr>
        <w:t>二、投资协议主体的基本情况</w:t>
      </w:r>
      <w:proofErr w:type="spellEnd"/>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480"/>
        <w:rPr>
          <w:rFonts w:cs="Times New Roman"/>
          <w:kern w:val="2"/>
        </w:rPr>
      </w:pPr>
      <w:bookmarkStart w:id="1" w:name="OLE_LINK5"/>
      <w:r w:rsidRPr="00212D08">
        <w:rPr>
          <w:rFonts w:cs="Times New Roman" w:hint="eastAsia"/>
          <w:kern w:val="2"/>
        </w:rPr>
        <w:t>联芯科技是公司的全资子公司，成立于2008年3月17日，注册资本37,038.46</w:t>
      </w:r>
      <w:r w:rsidRPr="00AC0659">
        <w:rPr>
          <w:rFonts w:cs="Times New Roman" w:hint="eastAsia"/>
          <w:kern w:val="2"/>
        </w:rPr>
        <w:t>15</w:t>
      </w:r>
      <w:r w:rsidRPr="00193A66">
        <w:rPr>
          <w:rFonts w:cs="Times New Roman" w:hint="eastAsia"/>
          <w:kern w:val="2"/>
        </w:rPr>
        <w:t>万元</w:t>
      </w:r>
      <w:r w:rsidRPr="00212D08">
        <w:rPr>
          <w:rFonts w:cs="Times New Roman" w:hint="eastAsia"/>
          <w:kern w:val="2"/>
        </w:rPr>
        <w:t>，注册地址为中国（上海）自由贸易试验区明月路1258号，主营业务包括：移动通信手机芯片的设计开发、委托制造和销售、技术支持等服务，产品主要面向国内移动通信市场，向国内终端厂商和设计厂商提供手机套片及解决方案。</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480"/>
      </w:pPr>
      <w:r w:rsidRPr="00212D08">
        <w:rPr>
          <w:rFonts w:cs="Times New Roman" w:hint="eastAsia"/>
          <w:kern w:val="2"/>
        </w:rPr>
        <w:t>高通控股是美国高通技术公司</w:t>
      </w:r>
      <w:r w:rsidRPr="00AC0659">
        <w:rPr>
          <w:rFonts w:cs="Times New Roman" w:hint="eastAsia"/>
          <w:kern w:val="2"/>
        </w:rPr>
        <w:t>间接持股</w:t>
      </w:r>
      <w:r w:rsidRPr="00212D08">
        <w:rPr>
          <w:rFonts w:cs="Times New Roman" w:hint="eastAsia"/>
          <w:kern w:val="2"/>
        </w:rPr>
        <w:t>的全资子公司，成立于2016年1月14日，注册资本30,300万美元，注册地址为贵州省贵安综合保税区综合服务大楼，主要从事集成电路设计、制造和移动网络产业、</w:t>
      </w:r>
      <w:r w:rsidRPr="00212D08">
        <w:rPr>
          <w:rFonts w:hint="eastAsia"/>
        </w:rPr>
        <w:t>信息技术产业、通讯产业和其它相关产业投资。</w:t>
      </w:r>
    </w:p>
    <w:p w:rsidR="007044F9" w:rsidRPr="00193A66" w:rsidRDefault="007044F9" w:rsidP="007044F9">
      <w:pPr>
        <w:pStyle w:val="a4"/>
        <w:tabs>
          <w:tab w:val="left" w:pos="1080"/>
        </w:tabs>
        <w:adjustRightInd w:val="0"/>
        <w:snapToGrid w:val="0"/>
        <w:spacing w:beforeLines="50" w:before="156" w:afterLines="50" w:after="156" w:line="360" w:lineRule="auto"/>
        <w:ind w:leftChars="50" w:left="105" w:rightChars="50" w:right="105" w:firstLine="480"/>
        <w:rPr>
          <w:rFonts w:cs="Times New Roman"/>
          <w:kern w:val="2"/>
        </w:rPr>
      </w:pPr>
      <w:r w:rsidRPr="00212D08">
        <w:rPr>
          <w:rFonts w:cs="Times New Roman" w:hint="eastAsia"/>
          <w:kern w:val="2"/>
        </w:rPr>
        <w:t>建广基金成立于2017年5月18日，</w:t>
      </w:r>
      <w:r w:rsidRPr="00AC0659">
        <w:rPr>
          <w:rFonts w:cs="Times New Roman" w:hint="eastAsia"/>
          <w:kern w:val="2"/>
        </w:rPr>
        <w:t>认缴</w:t>
      </w:r>
      <w:r w:rsidRPr="00193A66">
        <w:rPr>
          <w:rFonts w:cs="Times New Roman" w:hint="eastAsia"/>
          <w:kern w:val="2"/>
        </w:rPr>
        <w:t>资本111,7</w:t>
      </w:r>
      <w:r w:rsidRPr="00212D08">
        <w:rPr>
          <w:rFonts w:cs="Times New Roman" w:hint="eastAsia"/>
          <w:kern w:val="2"/>
        </w:rPr>
        <w:t>51.5万元，注册地址为贵州省贵安新区临时行政服务中心11号楼，是一家专注于集成电路产业的专业投资机构，执行事务合伙人为北京建广资产管理有限公司(以下简称“建广资产”)。建广资产的实际控制人为</w:t>
      </w:r>
      <w:r w:rsidRPr="00212D08">
        <w:rPr>
          <w:rFonts w:cs="Times New Roman"/>
          <w:bCs/>
          <w:kern w:val="2"/>
        </w:rPr>
        <w:t>中国建</w:t>
      </w:r>
      <w:r w:rsidRPr="00212D08">
        <w:rPr>
          <w:rFonts w:cs="Times New Roman"/>
          <w:kern w:val="2"/>
        </w:rPr>
        <w:t>银投资有限责任公司</w:t>
      </w:r>
      <w:r w:rsidRPr="00193A66">
        <w:rPr>
          <w:rFonts w:cs="Times New Roman" w:hint="eastAsia"/>
          <w:kern w:val="2"/>
        </w:rPr>
        <w:t>。</w:t>
      </w:r>
    </w:p>
    <w:p w:rsidR="007044F9" w:rsidRPr="00193A66" w:rsidRDefault="007044F9" w:rsidP="007044F9">
      <w:pPr>
        <w:pStyle w:val="a4"/>
        <w:tabs>
          <w:tab w:val="left" w:pos="1080"/>
        </w:tabs>
        <w:adjustRightInd w:val="0"/>
        <w:snapToGrid w:val="0"/>
        <w:spacing w:beforeLines="50" w:before="156" w:afterLines="50" w:after="156" w:line="360" w:lineRule="auto"/>
        <w:ind w:leftChars="50" w:left="105" w:rightChars="50" w:right="105" w:firstLine="480"/>
      </w:pPr>
      <w:r w:rsidRPr="00212D08">
        <w:rPr>
          <w:rFonts w:cs="Times New Roman" w:hint="eastAsia"/>
          <w:kern w:val="2"/>
        </w:rPr>
        <w:t>智路基金成立于2017年5月17日，认缴资本314,751.5万元，注册地址为贵州省贵安</w:t>
      </w:r>
      <w:r w:rsidRPr="00212D08">
        <w:rPr>
          <w:rFonts w:hint="eastAsia"/>
        </w:rPr>
        <w:t>新区临时行政服务中心11号楼，是一家专注于战略性新兴产业的专业投资机构，执行事务合伙人为北京智路资本管理有限公司</w:t>
      </w:r>
      <w:r w:rsidRPr="00212D08">
        <w:rPr>
          <w:rFonts w:cs="Times New Roman" w:hint="eastAsia"/>
          <w:kern w:val="2"/>
        </w:rPr>
        <w:t>(以下简称“</w:t>
      </w:r>
      <w:r w:rsidRPr="00212D08">
        <w:rPr>
          <w:rFonts w:hint="eastAsia"/>
        </w:rPr>
        <w:t>智路资本</w:t>
      </w:r>
      <w:r w:rsidRPr="00212D08">
        <w:rPr>
          <w:rFonts w:cs="Times New Roman" w:hint="eastAsia"/>
          <w:kern w:val="2"/>
        </w:rPr>
        <w:t>”)</w:t>
      </w:r>
      <w:r w:rsidRPr="00212D08">
        <w:rPr>
          <w:rFonts w:hint="eastAsia"/>
        </w:rPr>
        <w:t>。智路资本实际控制人为北京广大汇通工程</w:t>
      </w:r>
      <w:r w:rsidR="005B5307" w:rsidRPr="00AB27CA">
        <w:rPr>
          <w:rFonts w:hint="eastAsia"/>
        </w:rPr>
        <w:t>技术</w:t>
      </w:r>
      <w:r w:rsidRPr="00212D08">
        <w:rPr>
          <w:rFonts w:hint="eastAsia"/>
        </w:rPr>
        <w:t>研究院。</w:t>
      </w:r>
    </w:p>
    <w:bookmarkEnd w:id="1"/>
    <w:p w:rsidR="007044F9" w:rsidRPr="00212D08" w:rsidRDefault="007044F9" w:rsidP="00A5229B">
      <w:pPr>
        <w:pStyle w:val="1"/>
        <w:spacing w:beforeLines="50" w:before="156" w:afterLines="50" w:after="156" w:line="360" w:lineRule="auto"/>
        <w:ind w:leftChars="50" w:left="105" w:rightChars="50" w:right="105" w:firstLineChars="246" w:firstLine="593"/>
        <w:rPr>
          <w:rFonts w:ascii="宋体" w:hAnsi="宋体"/>
          <w:sz w:val="24"/>
          <w:szCs w:val="24"/>
        </w:rPr>
      </w:pPr>
      <w:r w:rsidRPr="00212D08">
        <w:rPr>
          <w:rFonts w:ascii="宋体" w:hAnsi="宋体" w:hint="eastAsia"/>
          <w:sz w:val="24"/>
          <w:szCs w:val="24"/>
        </w:rPr>
        <w:t xml:space="preserve">三、 </w:t>
      </w:r>
      <w:proofErr w:type="spellStart"/>
      <w:r w:rsidRPr="00212D08">
        <w:rPr>
          <w:rFonts w:ascii="宋体" w:hAnsi="宋体" w:hint="eastAsia"/>
          <w:sz w:val="24"/>
          <w:szCs w:val="24"/>
        </w:rPr>
        <w:t>拟设合资公司的基本情况</w:t>
      </w:r>
      <w:proofErr w:type="spellEnd"/>
    </w:p>
    <w:p w:rsidR="007044F9" w:rsidRPr="00193A66"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（一）公司名称：</w:t>
      </w:r>
      <w:r w:rsidRPr="00212D08">
        <w:rPr>
          <w:rFonts w:cs="Times New Roman" w:hint="eastAsia"/>
          <w:color w:val="000000"/>
          <w:kern w:val="2"/>
        </w:rPr>
        <w:t>瓴盛科技(贵州)有限公司</w:t>
      </w:r>
    </w:p>
    <w:p w:rsidR="007044F9" w:rsidRPr="00193A66"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193A66">
        <w:rPr>
          <w:rFonts w:hint="eastAsia"/>
        </w:rPr>
        <w:t>（二）</w:t>
      </w:r>
      <w:r w:rsidRPr="00212D08">
        <w:rPr>
          <w:rFonts w:hint="eastAsia"/>
        </w:rPr>
        <w:t>注册地址：贵州贵安新区贵安综合保税区孵化园2栋3层</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lastRenderedPageBreak/>
        <w:t>（三）注册资本：298,460.64万元</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（四）出资及股权结构</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联芯科技以估值为72,027.60万元的立可芯股权作为对合资公司出资，占合资公司注册资本的24.133%。立可芯是经公司董事会批准，联芯科技以部分资产出资设立的全资子公司，2017年3月注册成立，注册资本</w:t>
      </w:r>
      <w:r w:rsidRPr="00212D08">
        <w:t>19</w:t>
      </w:r>
      <w:r w:rsidRPr="00212D08">
        <w:rPr>
          <w:rFonts w:hint="eastAsia"/>
        </w:rPr>
        <w:t>,</w:t>
      </w:r>
      <w:r w:rsidRPr="00212D08">
        <w:t>124</w:t>
      </w:r>
      <w:r w:rsidRPr="00212D08">
        <w:rPr>
          <w:rFonts w:hint="eastAsia"/>
        </w:rPr>
        <w:t>.</w:t>
      </w:r>
      <w:r w:rsidRPr="00212D08">
        <w:t>0</w:t>
      </w:r>
      <w:r w:rsidRPr="00212D08">
        <w:rPr>
          <w:rFonts w:hint="eastAsia"/>
        </w:rPr>
        <w:t>4</w:t>
      </w:r>
      <w:r w:rsidRPr="00212D08">
        <w:t>4</w:t>
      </w:r>
      <w:r w:rsidRPr="00212D08">
        <w:rPr>
          <w:rFonts w:hint="eastAsia"/>
        </w:rPr>
        <w:t>2万元。</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根据上海东洲资产评估有限公司出具的《上海立可芯半导体科技有限公司企业价值评估报告书》（东洲评报字【2017】第0316号），立可芯企业价值评估值为99,600.00万元，同时，在联芯科技以设备及无形资产向立可芯出资时，联芯科技还将公网手机市场相关的合同、人员、联芯科技与特定供应商及客户之间的商业关系作为一项持续经营的业务整体转移给立可芯。作为转移和放弃业务的补偿，立可芯将向联芯科技支付27,572.40万元对价。根据评估报告说明，如该笔负债发生，则立可芯股权评估价值</w:t>
      </w:r>
      <w:r w:rsidRPr="00193A66">
        <w:rPr>
          <w:rFonts w:hint="eastAsia"/>
        </w:rPr>
        <w:t>为72,027.60</w:t>
      </w:r>
      <w:r w:rsidRPr="00212D08">
        <w:rPr>
          <w:rFonts w:hint="eastAsia"/>
        </w:rPr>
        <w:t>万元。该笔负债将在合资公司设立后生效，并由立可芯向联芯科技支付。</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高通控股以现金形式对合资公司出资72,027.60万元,占合资公司注册资本的24.133%。</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 xml:space="preserve">建广基金以现金形式对合资公司出资103,396.50万元,占合资公司注册资本的34.643%。 </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智路基金以现金形式对合资公司出资51,008.94万元,占合资公司注册资本的17.091%。</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根据拟签署的合资经营企业合同（以下简称“合资合同</w:t>
      </w:r>
      <w:r w:rsidRPr="00193A66">
        <w:rPr>
          <w:rFonts w:hint="eastAsia"/>
        </w:rPr>
        <w:t>”）的具体规定，</w:t>
      </w:r>
      <w:r w:rsidRPr="00212D08">
        <w:rPr>
          <w:rFonts w:hint="eastAsia"/>
        </w:rPr>
        <w:t>各方首期出资应在合资公司设立90天内到位，第二期现金出资应在合资公司设立15个月内完成，第三期现金出资最迟应在合资公司设立后的五年内完成</w:t>
      </w:r>
      <w:r w:rsidRPr="00193A66">
        <w:rPr>
          <w:rFonts w:hint="eastAsia"/>
        </w:rPr>
        <w:t>。</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（五）经营范围</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lastRenderedPageBreak/>
        <w:t xml:space="preserve">与芯片组解决方案有关的设计、包装、测试、客户支持及销售；技术开发、技术许可、技术咨询、技术服务及软件开发。 </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（六）法人治理结构</w:t>
      </w:r>
    </w:p>
    <w:p w:rsidR="007044F9" w:rsidRPr="00193A66"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合资公司董事会由7名董事组成，其中联芯科技</w:t>
      </w:r>
      <w:r w:rsidRPr="00AC0659">
        <w:rPr>
          <w:rFonts w:hint="eastAsia"/>
        </w:rPr>
        <w:t>委派</w:t>
      </w:r>
      <w:r w:rsidRPr="00193A66">
        <w:rPr>
          <w:rFonts w:hint="eastAsia"/>
        </w:rPr>
        <w:t>2</w:t>
      </w:r>
      <w:r w:rsidRPr="00212D08">
        <w:rPr>
          <w:rFonts w:hint="eastAsia"/>
        </w:rPr>
        <w:t>人，高通控股</w:t>
      </w:r>
      <w:r w:rsidRPr="00AC0659">
        <w:rPr>
          <w:rFonts w:hint="eastAsia"/>
        </w:rPr>
        <w:t>委派</w:t>
      </w:r>
      <w:r w:rsidRPr="00193A66">
        <w:rPr>
          <w:rFonts w:hint="eastAsia"/>
        </w:rPr>
        <w:t>2</w:t>
      </w:r>
      <w:r w:rsidRPr="00212D08">
        <w:rPr>
          <w:rFonts w:hint="eastAsia"/>
        </w:rPr>
        <w:t>人、建广基金</w:t>
      </w:r>
      <w:r w:rsidRPr="00AC0659">
        <w:rPr>
          <w:rFonts w:hint="eastAsia"/>
        </w:rPr>
        <w:t>委派</w:t>
      </w:r>
      <w:r w:rsidRPr="00193A66">
        <w:rPr>
          <w:rFonts w:hint="eastAsia"/>
        </w:rPr>
        <w:t>3</w:t>
      </w:r>
      <w:r w:rsidRPr="00212D08">
        <w:rPr>
          <w:rFonts w:hint="eastAsia"/>
        </w:rPr>
        <w:t>人，董事长由建广基金委派</w:t>
      </w:r>
      <w:r>
        <w:rPr>
          <w:rFonts w:hint="eastAsia"/>
        </w:rPr>
        <w:t>的一名董事担任</w:t>
      </w:r>
      <w:r w:rsidRPr="00AC0659">
        <w:rPr>
          <w:rFonts w:hint="eastAsia"/>
        </w:rPr>
        <w:t>。</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pPr>
      <w:r w:rsidRPr="00212D08">
        <w:rPr>
          <w:rFonts w:hint="eastAsia"/>
        </w:rPr>
        <w:t>合资公司监事会由5名监事组成，其中联芯科技</w:t>
      </w:r>
      <w:r w:rsidRPr="00AC0659">
        <w:rPr>
          <w:rFonts w:hint="eastAsia"/>
        </w:rPr>
        <w:t>委派</w:t>
      </w:r>
      <w:r w:rsidRPr="00193A66">
        <w:rPr>
          <w:rFonts w:hint="eastAsia"/>
        </w:rPr>
        <w:t>1</w:t>
      </w:r>
      <w:r w:rsidRPr="00212D08">
        <w:rPr>
          <w:rFonts w:hint="eastAsia"/>
        </w:rPr>
        <w:t>人、高通控股</w:t>
      </w:r>
      <w:r w:rsidRPr="00AC0659">
        <w:rPr>
          <w:rFonts w:hint="eastAsia"/>
        </w:rPr>
        <w:t>委派</w:t>
      </w:r>
      <w:r w:rsidRPr="00193A66">
        <w:rPr>
          <w:rFonts w:hint="eastAsia"/>
        </w:rPr>
        <w:t>1</w:t>
      </w:r>
      <w:r w:rsidRPr="00212D08">
        <w:rPr>
          <w:rFonts w:hint="eastAsia"/>
        </w:rPr>
        <w:t>人、建广基金</w:t>
      </w:r>
      <w:r w:rsidRPr="00AC0659">
        <w:rPr>
          <w:rFonts w:hint="eastAsia"/>
        </w:rPr>
        <w:t>委派</w:t>
      </w:r>
      <w:r w:rsidRPr="00193A66">
        <w:rPr>
          <w:rFonts w:hint="eastAsia"/>
        </w:rPr>
        <w:t>1</w:t>
      </w:r>
      <w:r w:rsidRPr="00212D08">
        <w:rPr>
          <w:rFonts w:hint="eastAsia"/>
        </w:rPr>
        <w:t>人、员工监事2人，监事会主席由联芯科技委派</w:t>
      </w:r>
      <w:r>
        <w:rPr>
          <w:rFonts w:hint="eastAsia"/>
        </w:rPr>
        <w:t>的监事担任</w:t>
      </w:r>
      <w:r w:rsidRPr="00212D08">
        <w:rPr>
          <w:rFonts w:hint="eastAsia"/>
        </w:rPr>
        <w:t>。</w:t>
      </w:r>
    </w:p>
    <w:p w:rsidR="007044F9" w:rsidRPr="00212D08" w:rsidRDefault="007044F9" w:rsidP="007044F9">
      <w:pPr>
        <w:pStyle w:val="1"/>
        <w:spacing w:beforeLines="50" w:before="156" w:afterLines="50" w:after="156" w:line="360" w:lineRule="auto"/>
        <w:ind w:leftChars="50" w:left="105" w:rightChars="50" w:right="105" w:firstLineChars="196" w:firstLine="472"/>
        <w:rPr>
          <w:rFonts w:ascii="宋体" w:hAnsi="宋体"/>
          <w:sz w:val="24"/>
          <w:szCs w:val="24"/>
        </w:rPr>
      </w:pPr>
      <w:proofErr w:type="spellStart"/>
      <w:r w:rsidRPr="00212D08">
        <w:rPr>
          <w:rFonts w:ascii="宋体" w:hAnsi="宋体" w:hint="eastAsia"/>
          <w:sz w:val="24"/>
          <w:szCs w:val="24"/>
        </w:rPr>
        <w:t>四、对外投资合同的其他内容</w:t>
      </w:r>
      <w:proofErr w:type="spellEnd"/>
    </w:p>
    <w:p w:rsidR="007044F9" w:rsidRPr="00212D08" w:rsidRDefault="007044F9" w:rsidP="007044F9">
      <w:pPr>
        <w:spacing w:beforeLines="50" w:before="156" w:afterLines="50" w:after="156" w:line="360" w:lineRule="auto"/>
        <w:ind w:leftChars="50" w:left="105" w:rightChars="50" w:right="105" w:firstLineChars="200" w:firstLine="480"/>
        <w:rPr>
          <w:rFonts w:ascii="宋体" w:hAnsi="宋体"/>
          <w:sz w:val="24"/>
        </w:rPr>
      </w:pPr>
      <w:r w:rsidRPr="00212D08">
        <w:rPr>
          <w:rFonts w:ascii="宋体" w:hAnsi="宋体" w:hint="eastAsia"/>
          <w:sz w:val="24"/>
        </w:rPr>
        <w:t>除上述已提及的相关内容外，拟签署的合资经营企业合同还包括以下主要内容：</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sz w:val="24"/>
          <w:lang w:val="en-GB"/>
        </w:rPr>
      </w:pPr>
      <w:r w:rsidRPr="00212D08">
        <w:rPr>
          <w:rFonts w:ascii="宋体" w:hAnsi="宋体" w:hint="eastAsia"/>
          <w:sz w:val="24"/>
          <w:lang w:val="en-GB"/>
        </w:rPr>
        <w:t>（一）合同生效时间以及有效期</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sz w:val="24"/>
          <w:lang w:val="en-GB"/>
        </w:rPr>
      </w:pPr>
      <w:r w:rsidRPr="00212D08">
        <w:rPr>
          <w:rFonts w:ascii="宋体" w:hAnsi="宋体" w:hint="eastAsia"/>
          <w:sz w:val="24"/>
          <w:lang w:val="en-GB"/>
        </w:rPr>
        <w:t>合同自签署日起生效,规定的“公司经营期限”为自成立日起二十（20）年，届满前如果董事会一致同意，则可续展公司经营期限。</w:t>
      </w:r>
    </w:p>
    <w:p w:rsidR="007044F9" w:rsidRPr="00212D08" w:rsidRDefault="007044F9" w:rsidP="007044F9">
      <w:pPr>
        <w:pStyle w:val="a4"/>
        <w:tabs>
          <w:tab w:val="left" w:pos="1080"/>
        </w:tabs>
        <w:adjustRightInd w:val="0"/>
        <w:snapToGrid w:val="0"/>
        <w:spacing w:beforeLines="50" w:before="156" w:afterLines="50" w:after="156" w:line="360" w:lineRule="auto"/>
        <w:ind w:leftChars="50" w:left="105" w:rightChars="50" w:right="105" w:firstLineChars="200" w:firstLine="480"/>
        <w:rPr>
          <w:lang w:val="en-GB"/>
        </w:rPr>
      </w:pPr>
      <w:r w:rsidRPr="00212D08">
        <w:rPr>
          <w:rFonts w:hint="eastAsia"/>
          <w:lang w:val="en-GB"/>
        </w:rPr>
        <w:t>（二）违约责任</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sz w:val="24"/>
          <w:lang w:val="en-GB"/>
        </w:rPr>
      </w:pPr>
      <w:r w:rsidRPr="00212D08">
        <w:rPr>
          <w:rFonts w:ascii="宋体" w:hAnsi="宋体" w:hint="eastAsia"/>
          <w:sz w:val="24"/>
          <w:lang w:val="en-GB"/>
        </w:rPr>
        <w:t>如果由于任何一方违反合资合同，致使公司或其他一方承担任何费用、责任或蒙受任何损失（包括公司的利润损失，但不包括公司或任何一方的无论任何性质的任何其他间接损失），违约的一方应就任何该等费用、责任或损失（包括因违约而支付或损失的利息以及合理的律师费）向</w:t>
      </w:r>
      <w:r w:rsidRPr="00AC0659">
        <w:rPr>
          <w:rFonts w:ascii="宋体" w:hAnsi="宋体" w:hint="eastAsia"/>
          <w:sz w:val="24"/>
          <w:lang w:val="en-GB"/>
        </w:rPr>
        <w:t>合资</w:t>
      </w:r>
      <w:r w:rsidRPr="00212D08">
        <w:rPr>
          <w:rFonts w:ascii="宋体" w:hAnsi="宋体" w:hint="eastAsia"/>
          <w:sz w:val="24"/>
          <w:lang w:val="en-GB"/>
        </w:rPr>
        <w:t>公司和（各）守约的一方进行赔偿并使其免受损害。</w:t>
      </w:r>
    </w:p>
    <w:p w:rsidR="007044F9" w:rsidRPr="00212D08" w:rsidRDefault="007044F9" w:rsidP="007044F9">
      <w:pPr>
        <w:adjustRightInd w:val="0"/>
        <w:snapToGrid w:val="0"/>
        <w:spacing w:beforeLines="50" w:before="156" w:afterLines="50" w:after="156" w:line="360" w:lineRule="auto"/>
        <w:ind w:leftChars="50" w:left="105" w:rightChars="50" w:right="105" w:firstLineChars="150" w:firstLine="360"/>
        <w:rPr>
          <w:rFonts w:ascii="宋体" w:hAnsi="宋体"/>
          <w:sz w:val="24"/>
          <w:lang w:val="en-GB"/>
        </w:rPr>
      </w:pPr>
      <w:r w:rsidRPr="00212D08">
        <w:rPr>
          <w:rFonts w:ascii="宋体" w:hAnsi="宋体" w:hint="eastAsia"/>
          <w:sz w:val="24"/>
          <w:lang w:val="en-GB"/>
        </w:rPr>
        <w:t>（三）争议解决方式</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sz w:val="24"/>
          <w:lang w:val="en-GB"/>
        </w:rPr>
      </w:pPr>
      <w:r w:rsidRPr="00212D08">
        <w:rPr>
          <w:rFonts w:ascii="宋体" w:hAnsi="宋体" w:hint="eastAsia"/>
          <w:sz w:val="24"/>
          <w:lang w:val="en-GB"/>
        </w:rPr>
        <w:t>任何源于合资合同、由合资合同引起或与之相关的争议应由各方通过友好协商的方式解决。如果争议未能在开展协商之日起的三十日内通过协商方式解决，该争议应被提交至国际商会国际仲裁院，根据申请仲裁时有效的国际商会</w:t>
      </w:r>
      <w:r w:rsidRPr="00212D08">
        <w:rPr>
          <w:rFonts w:ascii="宋体" w:hAnsi="宋体" w:hint="eastAsia"/>
          <w:sz w:val="24"/>
          <w:lang w:val="en-GB"/>
        </w:rPr>
        <w:lastRenderedPageBreak/>
        <w:t>仲裁规则在新加坡仲裁解决。</w:t>
      </w:r>
    </w:p>
    <w:p w:rsidR="007044F9" w:rsidRPr="00212D08" w:rsidRDefault="007044F9" w:rsidP="007044F9">
      <w:pPr>
        <w:pStyle w:val="1"/>
        <w:spacing w:beforeLines="50" w:before="156" w:afterLines="50" w:after="156" w:line="360" w:lineRule="auto"/>
        <w:ind w:leftChars="50" w:left="105" w:rightChars="50" w:right="105" w:firstLineChars="196" w:firstLine="472"/>
        <w:rPr>
          <w:rFonts w:ascii="宋体" w:hAnsi="宋体"/>
          <w:sz w:val="24"/>
          <w:szCs w:val="24"/>
        </w:rPr>
      </w:pPr>
      <w:proofErr w:type="spellStart"/>
      <w:r w:rsidRPr="00212D08">
        <w:rPr>
          <w:rFonts w:ascii="宋体" w:hAnsi="宋体" w:hint="eastAsia"/>
          <w:sz w:val="24"/>
          <w:szCs w:val="24"/>
        </w:rPr>
        <w:t>五、投资项目对上市公司的影响</w:t>
      </w:r>
      <w:proofErr w:type="spellEnd"/>
      <w:r w:rsidRPr="00212D08">
        <w:rPr>
          <w:rFonts w:ascii="宋体" w:hAnsi="宋体" w:hint="eastAsia"/>
          <w:sz w:val="24"/>
          <w:szCs w:val="24"/>
        </w:rPr>
        <w:t xml:space="preserve"> </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cs="宋体"/>
          <w:kern w:val="0"/>
          <w:sz w:val="24"/>
        </w:rPr>
      </w:pPr>
      <w:r w:rsidRPr="00212D08">
        <w:rPr>
          <w:rFonts w:ascii="宋体" w:hAnsi="宋体" w:cs="宋体" w:hint="eastAsia"/>
          <w:kern w:val="0"/>
          <w:sz w:val="24"/>
        </w:rPr>
        <w:t>因高通控股、建广基金、智路基金首期出资金额之和高于联芯科技的出资额，且根据董事会组成的相关约定，公司不对合资公司合并报表。</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sz w:val="24"/>
          <w:lang w:val="en-GB"/>
        </w:rPr>
      </w:pPr>
      <w:r w:rsidRPr="00212D08">
        <w:rPr>
          <w:rFonts w:ascii="宋体" w:hAnsi="宋体" w:hint="eastAsia"/>
          <w:sz w:val="24"/>
          <w:lang w:val="en-GB"/>
        </w:rPr>
        <w:t>项目实施后，预计可实现投资收益约3.96亿元，营业外收入约2.76亿元，合计对公司产生收益约6.72亿元。同时，根据会计准则和相关制度，在本项目后续执行过程中，视立可芯能否独立开展业务的实际情况，该项目存在被认定为 “顺流交易”而冲抵部分投资收益的可能性，最终收益由会计师事务所根据项目实际执行情况确认。</w:t>
      </w:r>
    </w:p>
    <w:p w:rsidR="007044F9" w:rsidRPr="00212D08" w:rsidRDefault="007044F9" w:rsidP="007044F9">
      <w:pPr>
        <w:adjustRightInd w:val="0"/>
        <w:snapToGrid w:val="0"/>
        <w:spacing w:beforeLines="50" w:before="156" w:afterLines="50" w:after="156" w:line="360" w:lineRule="auto"/>
        <w:ind w:leftChars="50" w:left="105" w:rightChars="50" w:right="105" w:firstLineChars="200" w:firstLine="480"/>
        <w:rPr>
          <w:rFonts w:ascii="宋体" w:hAnsi="宋体" w:cs="宋体"/>
          <w:kern w:val="0"/>
          <w:sz w:val="24"/>
        </w:rPr>
      </w:pPr>
      <w:r w:rsidRPr="00193A66">
        <w:rPr>
          <w:rFonts w:ascii="宋体" w:hAnsi="宋体" w:hint="eastAsia"/>
          <w:sz w:val="24"/>
          <w:lang w:val="en-GB"/>
        </w:rPr>
        <w:t>联芯科技以</w:t>
      </w:r>
      <w:r w:rsidRPr="00212D08">
        <w:rPr>
          <w:rFonts w:ascii="宋体" w:hAnsi="宋体" w:hint="eastAsia"/>
          <w:sz w:val="24"/>
          <w:lang w:val="en-GB"/>
        </w:rPr>
        <w:t>全资子公司立可芯股权作为出资，导致上市公司合并报表范围发生变更。公司不存在为立可芯提供担保、委托立可芯理财，以及立可芯占用上市公司资金等方面的情况。</w:t>
      </w:r>
    </w:p>
    <w:p w:rsidR="007044F9" w:rsidRPr="00212D08" w:rsidRDefault="007044F9" w:rsidP="007044F9">
      <w:pPr>
        <w:pStyle w:val="1"/>
        <w:spacing w:beforeLines="50" w:before="156" w:afterLines="50" w:after="156" w:line="360" w:lineRule="auto"/>
        <w:ind w:leftChars="50" w:left="105" w:rightChars="50" w:right="105" w:firstLineChars="196" w:firstLine="472"/>
        <w:rPr>
          <w:rFonts w:ascii="宋体" w:hAnsi="宋体"/>
          <w:sz w:val="24"/>
          <w:szCs w:val="24"/>
        </w:rPr>
      </w:pPr>
      <w:proofErr w:type="spellStart"/>
      <w:r w:rsidRPr="00212D08">
        <w:rPr>
          <w:rFonts w:ascii="宋体" w:hAnsi="宋体" w:hint="eastAsia"/>
          <w:sz w:val="24"/>
          <w:szCs w:val="24"/>
        </w:rPr>
        <w:t>六、风险提示及应对措施</w:t>
      </w:r>
      <w:proofErr w:type="spellEnd"/>
    </w:p>
    <w:p w:rsidR="007044F9" w:rsidRPr="00212D08" w:rsidRDefault="007044F9" w:rsidP="007044F9">
      <w:pPr>
        <w:widowControl/>
        <w:spacing w:beforeLines="50" w:before="156" w:afterLines="50" w:after="156" w:line="360" w:lineRule="auto"/>
        <w:ind w:leftChars="50" w:left="105" w:rightChars="50" w:right="105" w:firstLineChars="200" w:firstLine="480"/>
        <w:jc w:val="left"/>
        <w:textAlignment w:val="baseline"/>
        <w:rPr>
          <w:rFonts w:ascii="宋体" w:hAnsi="宋体"/>
          <w:sz w:val="24"/>
        </w:rPr>
      </w:pPr>
      <w:r w:rsidRPr="00212D08">
        <w:rPr>
          <w:rFonts w:ascii="宋体" w:hAnsi="宋体" w:hint="eastAsia"/>
          <w:sz w:val="24"/>
        </w:rPr>
        <w:t>消费终端芯片行业的市场竞争依然激烈，合资公司未来发展能否顺利达到预期目标仍具有一定风险。对此，合资公司将充分整合各投资方的优势资源，利用各方的技术和资本优势，并实行严格的内部成本控制制度，以快速提升技术水平，确保盈利能力，提高自身竞争力。</w:t>
      </w:r>
    </w:p>
    <w:p w:rsidR="007044F9" w:rsidRPr="00212D08" w:rsidRDefault="007044F9" w:rsidP="007044F9">
      <w:pPr>
        <w:pStyle w:val="1"/>
        <w:spacing w:beforeLines="50" w:before="156" w:afterLines="50" w:after="156" w:line="360" w:lineRule="auto"/>
        <w:ind w:leftChars="50" w:left="105" w:rightChars="50" w:right="105" w:firstLineChars="196" w:firstLine="472"/>
        <w:rPr>
          <w:rFonts w:ascii="宋体" w:hAnsi="宋体"/>
          <w:sz w:val="24"/>
          <w:szCs w:val="24"/>
        </w:rPr>
      </w:pPr>
      <w:proofErr w:type="spellStart"/>
      <w:r w:rsidRPr="00212D08">
        <w:rPr>
          <w:rFonts w:ascii="宋体" w:hAnsi="宋体" w:hint="eastAsia"/>
          <w:sz w:val="24"/>
          <w:szCs w:val="24"/>
        </w:rPr>
        <w:t>七、上网公告附件</w:t>
      </w:r>
      <w:proofErr w:type="spellEnd"/>
    </w:p>
    <w:p w:rsidR="007044F9" w:rsidRPr="00212D08" w:rsidRDefault="007044F9" w:rsidP="007044F9">
      <w:pPr>
        <w:spacing w:beforeLines="50" w:before="156" w:afterLines="50" w:after="156" w:line="360" w:lineRule="auto"/>
        <w:ind w:leftChars="50" w:left="105" w:rightChars="50" w:right="105" w:firstLineChars="200" w:firstLine="480"/>
        <w:rPr>
          <w:rFonts w:ascii="宋体" w:hAnsi="宋体"/>
          <w:sz w:val="24"/>
        </w:rPr>
      </w:pPr>
      <w:r w:rsidRPr="00212D08">
        <w:rPr>
          <w:rFonts w:ascii="宋体" w:hAnsi="宋体" w:hint="eastAsia"/>
          <w:bCs/>
          <w:sz w:val="24"/>
        </w:rPr>
        <w:t>《</w:t>
      </w:r>
      <w:r w:rsidRPr="00212D08">
        <w:rPr>
          <w:rFonts w:ascii="宋体" w:hAnsi="宋体"/>
          <w:bCs/>
          <w:sz w:val="24"/>
        </w:rPr>
        <w:t>上海立可芯</w:t>
      </w:r>
      <w:r w:rsidRPr="00212D08">
        <w:rPr>
          <w:rFonts w:ascii="宋体" w:hAnsi="宋体" w:hint="eastAsia"/>
          <w:bCs/>
          <w:sz w:val="24"/>
        </w:rPr>
        <w:t>半导体科技有限公司</w:t>
      </w:r>
      <w:r w:rsidRPr="00212D08">
        <w:rPr>
          <w:rFonts w:ascii="宋体" w:hAnsi="宋体"/>
          <w:bCs/>
          <w:sz w:val="24"/>
        </w:rPr>
        <w:t>企业价值评估报告</w:t>
      </w:r>
      <w:r w:rsidRPr="00212D08">
        <w:rPr>
          <w:rFonts w:ascii="宋体" w:hAnsi="宋体" w:hint="eastAsia"/>
          <w:bCs/>
          <w:sz w:val="24"/>
        </w:rPr>
        <w:t>书》</w:t>
      </w:r>
      <w:r w:rsidR="00A5229B">
        <w:rPr>
          <w:rFonts w:ascii="宋体" w:hAnsi="宋体" w:hint="eastAsia"/>
          <w:bCs/>
          <w:sz w:val="24"/>
        </w:rPr>
        <w:t>。</w:t>
      </w:r>
    </w:p>
    <w:p w:rsidR="007044F9" w:rsidRPr="00212D08" w:rsidRDefault="007044F9" w:rsidP="007044F9">
      <w:pPr>
        <w:tabs>
          <w:tab w:val="left" w:pos="540"/>
          <w:tab w:val="left" w:pos="900"/>
        </w:tabs>
        <w:adjustRightInd w:val="0"/>
        <w:snapToGrid w:val="0"/>
        <w:spacing w:beforeLines="50" w:before="156" w:afterLines="50" w:after="156" w:line="360" w:lineRule="auto"/>
        <w:ind w:leftChars="50" w:left="105" w:rightChars="50" w:right="105" w:firstLineChars="200" w:firstLine="480"/>
        <w:rPr>
          <w:rFonts w:ascii="宋体" w:hAnsi="宋体"/>
          <w:bCs/>
          <w:sz w:val="24"/>
        </w:rPr>
      </w:pPr>
      <w:r w:rsidRPr="00212D08">
        <w:rPr>
          <w:rFonts w:ascii="宋体" w:hAnsi="宋体" w:hint="eastAsia"/>
          <w:bCs/>
          <w:sz w:val="24"/>
        </w:rPr>
        <w:t>特此公告。</w:t>
      </w:r>
    </w:p>
    <w:p w:rsidR="007044F9" w:rsidRPr="00212D08" w:rsidRDefault="007044F9" w:rsidP="007044F9">
      <w:pPr>
        <w:adjustRightInd w:val="0"/>
        <w:snapToGrid w:val="0"/>
        <w:spacing w:line="360" w:lineRule="auto"/>
        <w:rPr>
          <w:rFonts w:ascii="宋体" w:hAnsi="宋体"/>
          <w:color w:val="676767"/>
          <w:sz w:val="24"/>
        </w:rPr>
      </w:pPr>
    </w:p>
    <w:p w:rsidR="007044F9" w:rsidRPr="00212D08" w:rsidRDefault="007044F9" w:rsidP="007044F9">
      <w:pPr>
        <w:adjustRightInd w:val="0"/>
        <w:snapToGrid w:val="0"/>
        <w:spacing w:line="360" w:lineRule="auto"/>
        <w:jc w:val="right"/>
        <w:rPr>
          <w:rFonts w:ascii="宋体" w:hAnsi="宋体"/>
          <w:bCs/>
          <w:sz w:val="24"/>
        </w:rPr>
      </w:pPr>
      <w:r>
        <w:rPr>
          <w:rFonts w:ascii="宋体" w:hAnsi="宋体" w:hint="eastAsia"/>
          <w:bCs/>
          <w:sz w:val="24"/>
        </w:rPr>
        <w:t xml:space="preserve"> </w:t>
      </w:r>
      <w:r w:rsidRPr="00193A66">
        <w:rPr>
          <w:rFonts w:ascii="宋体" w:hAnsi="宋体" w:hint="eastAsia"/>
          <w:bCs/>
          <w:sz w:val="24"/>
        </w:rPr>
        <w:t>大唐电信科技股份有限公司董事会</w:t>
      </w:r>
    </w:p>
    <w:p w:rsidR="007044F9" w:rsidRPr="0058099E" w:rsidRDefault="007044F9" w:rsidP="007044F9">
      <w:pPr>
        <w:adjustRightInd w:val="0"/>
        <w:snapToGrid w:val="0"/>
        <w:spacing w:line="360" w:lineRule="auto"/>
        <w:jc w:val="right"/>
        <w:rPr>
          <w:rFonts w:ascii="宋体" w:hAnsi="宋体"/>
          <w:bCs/>
          <w:sz w:val="24"/>
        </w:rPr>
      </w:pPr>
      <w:r w:rsidRPr="00212D08">
        <w:rPr>
          <w:rFonts w:ascii="宋体" w:hAnsi="宋体" w:hint="eastAsia"/>
          <w:bCs/>
          <w:sz w:val="24"/>
        </w:rPr>
        <w:t>2017年5月26日</w:t>
      </w:r>
    </w:p>
    <w:p w:rsidR="007044F9" w:rsidRPr="0058099E" w:rsidRDefault="007044F9" w:rsidP="007044F9">
      <w:pPr>
        <w:adjustRightInd w:val="0"/>
        <w:snapToGrid w:val="0"/>
        <w:spacing w:line="360" w:lineRule="auto"/>
        <w:rPr>
          <w:rFonts w:ascii="宋体" w:hAnsi="宋体"/>
          <w:bCs/>
          <w:sz w:val="24"/>
        </w:rPr>
      </w:pPr>
    </w:p>
    <w:p w:rsidR="00EA0742" w:rsidRDefault="00EA0742"/>
    <w:sectPr w:rsidR="00EA0742">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53" w:rsidRDefault="00E20753">
      <w:r>
        <w:separator/>
      </w:r>
    </w:p>
  </w:endnote>
  <w:endnote w:type="continuationSeparator" w:id="0">
    <w:p w:rsidR="00E20753" w:rsidRDefault="00E2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835" w:rsidRDefault="00A5229B">
    <w:pPr>
      <w:pStyle w:val="a3"/>
      <w:jc w:val="center"/>
    </w:pPr>
    <w:r>
      <w:rPr>
        <w:vanish/>
        <w:highlight w:val="yellow"/>
      </w:rPr>
      <w:t>&lt;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53" w:rsidRDefault="00E20753">
      <w:r>
        <w:separator/>
      </w:r>
    </w:p>
  </w:footnote>
  <w:footnote w:type="continuationSeparator" w:id="0">
    <w:p w:rsidR="00E20753" w:rsidRDefault="00E20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1D1B"/>
    <w:multiLevelType w:val="hybridMultilevel"/>
    <w:tmpl w:val="B992AA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F9"/>
    <w:rsid w:val="00012D17"/>
    <w:rsid w:val="000563A4"/>
    <w:rsid w:val="00095A6D"/>
    <w:rsid w:val="000C6367"/>
    <w:rsid w:val="00134594"/>
    <w:rsid w:val="001515F9"/>
    <w:rsid w:val="001732F9"/>
    <w:rsid w:val="00176165"/>
    <w:rsid w:val="001C61D3"/>
    <w:rsid w:val="001D0D06"/>
    <w:rsid w:val="0021631D"/>
    <w:rsid w:val="002737BA"/>
    <w:rsid w:val="00285A0A"/>
    <w:rsid w:val="002B572B"/>
    <w:rsid w:val="002C1B85"/>
    <w:rsid w:val="002E5D08"/>
    <w:rsid w:val="002F1D8C"/>
    <w:rsid w:val="0030273F"/>
    <w:rsid w:val="0037105D"/>
    <w:rsid w:val="003857A5"/>
    <w:rsid w:val="003A7C25"/>
    <w:rsid w:val="00407411"/>
    <w:rsid w:val="00475BE5"/>
    <w:rsid w:val="0048087A"/>
    <w:rsid w:val="00490AB6"/>
    <w:rsid w:val="004C42DE"/>
    <w:rsid w:val="004C6F61"/>
    <w:rsid w:val="005201F4"/>
    <w:rsid w:val="005B5307"/>
    <w:rsid w:val="005E0957"/>
    <w:rsid w:val="00631E82"/>
    <w:rsid w:val="006A4476"/>
    <w:rsid w:val="007044F9"/>
    <w:rsid w:val="007072D0"/>
    <w:rsid w:val="00743F60"/>
    <w:rsid w:val="007872EF"/>
    <w:rsid w:val="007B4BDA"/>
    <w:rsid w:val="007D11E3"/>
    <w:rsid w:val="009024B7"/>
    <w:rsid w:val="00952E41"/>
    <w:rsid w:val="00965062"/>
    <w:rsid w:val="009C2B6B"/>
    <w:rsid w:val="009F6E95"/>
    <w:rsid w:val="00A5229B"/>
    <w:rsid w:val="00AA1D4A"/>
    <w:rsid w:val="00AB27CA"/>
    <w:rsid w:val="00BA02A8"/>
    <w:rsid w:val="00C33A37"/>
    <w:rsid w:val="00CE7DA1"/>
    <w:rsid w:val="00CF2368"/>
    <w:rsid w:val="00D226F3"/>
    <w:rsid w:val="00D6365C"/>
    <w:rsid w:val="00E20753"/>
    <w:rsid w:val="00E66665"/>
    <w:rsid w:val="00EA0742"/>
    <w:rsid w:val="00EC1833"/>
    <w:rsid w:val="00EC51C1"/>
    <w:rsid w:val="00F14F60"/>
    <w:rsid w:val="00F61B2E"/>
    <w:rsid w:val="00F812FD"/>
    <w:rsid w:val="00F854EC"/>
    <w:rsid w:val="00FB1388"/>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F9"/>
    <w:pPr>
      <w:widowControl w:val="0"/>
      <w:jc w:val="both"/>
    </w:pPr>
    <w:rPr>
      <w:rFonts w:ascii="Times New Roman" w:eastAsia="宋体" w:hAnsi="Times New Roman" w:cs="Times New Roman"/>
      <w:szCs w:val="24"/>
    </w:rPr>
  </w:style>
  <w:style w:type="paragraph" w:styleId="1">
    <w:name w:val="heading 1"/>
    <w:basedOn w:val="a"/>
    <w:next w:val="a"/>
    <w:link w:val="1Char"/>
    <w:qFormat/>
    <w:rsid w:val="007044F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4F9"/>
    <w:rPr>
      <w:rFonts w:ascii="Times New Roman" w:eastAsia="宋体" w:hAnsi="Times New Roman" w:cs="Times New Roman"/>
      <w:b/>
      <w:bCs/>
      <w:kern w:val="44"/>
      <w:sz w:val="44"/>
      <w:szCs w:val="44"/>
      <w:lang w:val="x-none" w:eastAsia="x-none"/>
    </w:rPr>
  </w:style>
  <w:style w:type="character" w:customStyle="1" w:styleId="Char">
    <w:name w:val="页脚 Char"/>
    <w:link w:val="a3"/>
    <w:uiPriority w:val="99"/>
    <w:rsid w:val="007044F9"/>
    <w:rPr>
      <w:rFonts w:ascii="Times New Roman" w:eastAsia="宋体" w:hAnsi="Times New Roman" w:cs="Times New Roman"/>
      <w:sz w:val="18"/>
      <w:szCs w:val="18"/>
    </w:rPr>
  </w:style>
  <w:style w:type="paragraph" w:styleId="a3">
    <w:name w:val="footer"/>
    <w:basedOn w:val="a"/>
    <w:link w:val="Char"/>
    <w:uiPriority w:val="99"/>
    <w:rsid w:val="007044F9"/>
    <w:pPr>
      <w:tabs>
        <w:tab w:val="center" w:pos="4153"/>
        <w:tab w:val="right" w:pos="8306"/>
      </w:tabs>
      <w:snapToGrid w:val="0"/>
      <w:jc w:val="left"/>
    </w:pPr>
    <w:rPr>
      <w:sz w:val="18"/>
      <w:szCs w:val="18"/>
    </w:rPr>
  </w:style>
  <w:style w:type="character" w:customStyle="1" w:styleId="Char1">
    <w:name w:val="页脚 Char1"/>
    <w:basedOn w:val="a0"/>
    <w:uiPriority w:val="99"/>
    <w:semiHidden/>
    <w:rsid w:val="007044F9"/>
    <w:rPr>
      <w:rFonts w:ascii="Times New Roman" w:eastAsia="宋体" w:hAnsi="Times New Roman" w:cs="Times New Roman"/>
      <w:sz w:val="18"/>
      <w:szCs w:val="18"/>
    </w:rPr>
  </w:style>
  <w:style w:type="paragraph" w:customStyle="1" w:styleId="Default">
    <w:name w:val="Default"/>
    <w:rsid w:val="007044F9"/>
    <w:pPr>
      <w:widowControl w:val="0"/>
      <w:autoSpaceDE w:val="0"/>
      <w:autoSpaceDN w:val="0"/>
      <w:adjustRightInd w:val="0"/>
    </w:pPr>
    <w:rPr>
      <w:rFonts w:ascii="宋体" w:eastAsia="宋体" w:hAnsi="Times New Roman" w:cs="宋体"/>
      <w:color w:val="000000"/>
      <w:kern w:val="0"/>
      <w:sz w:val="24"/>
      <w:szCs w:val="24"/>
    </w:rPr>
  </w:style>
  <w:style w:type="paragraph" w:styleId="a4">
    <w:name w:val="Normal (Web)"/>
    <w:basedOn w:val="a"/>
    <w:uiPriority w:val="99"/>
    <w:rsid w:val="007044F9"/>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9024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024B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F9"/>
    <w:pPr>
      <w:widowControl w:val="0"/>
      <w:jc w:val="both"/>
    </w:pPr>
    <w:rPr>
      <w:rFonts w:ascii="Times New Roman" w:eastAsia="宋体" w:hAnsi="Times New Roman" w:cs="Times New Roman"/>
      <w:szCs w:val="24"/>
    </w:rPr>
  </w:style>
  <w:style w:type="paragraph" w:styleId="1">
    <w:name w:val="heading 1"/>
    <w:basedOn w:val="a"/>
    <w:next w:val="a"/>
    <w:link w:val="1Char"/>
    <w:qFormat/>
    <w:rsid w:val="007044F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4F9"/>
    <w:rPr>
      <w:rFonts w:ascii="Times New Roman" w:eastAsia="宋体" w:hAnsi="Times New Roman" w:cs="Times New Roman"/>
      <w:b/>
      <w:bCs/>
      <w:kern w:val="44"/>
      <w:sz w:val="44"/>
      <w:szCs w:val="44"/>
      <w:lang w:val="x-none" w:eastAsia="x-none"/>
    </w:rPr>
  </w:style>
  <w:style w:type="character" w:customStyle="1" w:styleId="Char">
    <w:name w:val="页脚 Char"/>
    <w:link w:val="a3"/>
    <w:uiPriority w:val="99"/>
    <w:rsid w:val="007044F9"/>
    <w:rPr>
      <w:rFonts w:ascii="Times New Roman" w:eastAsia="宋体" w:hAnsi="Times New Roman" w:cs="Times New Roman"/>
      <w:sz w:val="18"/>
      <w:szCs w:val="18"/>
    </w:rPr>
  </w:style>
  <w:style w:type="paragraph" w:styleId="a3">
    <w:name w:val="footer"/>
    <w:basedOn w:val="a"/>
    <w:link w:val="Char"/>
    <w:uiPriority w:val="99"/>
    <w:rsid w:val="007044F9"/>
    <w:pPr>
      <w:tabs>
        <w:tab w:val="center" w:pos="4153"/>
        <w:tab w:val="right" w:pos="8306"/>
      </w:tabs>
      <w:snapToGrid w:val="0"/>
      <w:jc w:val="left"/>
    </w:pPr>
    <w:rPr>
      <w:sz w:val="18"/>
      <w:szCs w:val="18"/>
    </w:rPr>
  </w:style>
  <w:style w:type="character" w:customStyle="1" w:styleId="Char1">
    <w:name w:val="页脚 Char1"/>
    <w:basedOn w:val="a0"/>
    <w:uiPriority w:val="99"/>
    <w:semiHidden/>
    <w:rsid w:val="007044F9"/>
    <w:rPr>
      <w:rFonts w:ascii="Times New Roman" w:eastAsia="宋体" w:hAnsi="Times New Roman" w:cs="Times New Roman"/>
      <w:sz w:val="18"/>
      <w:szCs w:val="18"/>
    </w:rPr>
  </w:style>
  <w:style w:type="paragraph" w:customStyle="1" w:styleId="Default">
    <w:name w:val="Default"/>
    <w:rsid w:val="007044F9"/>
    <w:pPr>
      <w:widowControl w:val="0"/>
      <w:autoSpaceDE w:val="0"/>
      <w:autoSpaceDN w:val="0"/>
      <w:adjustRightInd w:val="0"/>
    </w:pPr>
    <w:rPr>
      <w:rFonts w:ascii="宋体" w:eastAsia="宋体" w:hAnsi="Times New Roman" w:cs="宋体"/>
      <w:color w:val="000000"/>
      <w:kern w:val="0"/>
      <w:sz w:val="24"/>
      <w:szCs w:val="24"/>
    </w:rPr>
  </w:style>
  <w:style w:type="paragraph" w:styleId="a4">
    <w:name w:val="Normal (Web)"/>
    <w:basedOn w:val="a"/>
    <w:uiPriority w:val="99"/>
    <w:rsid w:val="007044F9"/>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9024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024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B1zhangjin</cp:lastModifiedBy>
  <cp:revision>2</cp:revision>
  <dcterms:created xsi:type="dcterms:W3CDTF">2017-05-25T09:26:00Z</dcterms:created>
  <dcterms:modified xsi:type="dcterms:W3CDTF">2017-05-25T09:26:00Z</dcterms:modified>
</cp:coreProperties>
</file>